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0FACF" w14:textId="1B744CCE" w:rsidR="00AB39FA"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w:t>
      </w:r>
      <w:r w:rsidR="004077F1">
        <w:rPr>
          <w:rFonts w:ascii="Arial" w:eastAsia="Arial Unicode MS" w:hAnsi="Arial" w:cs="Arial"/>
          <w:b/>
          <w:bCs/>
          <w:sz w:val="24"/>
        </w:rPr>
        <w:t>G</w:t>
      </w:r>
      <w:r>
        <w:rPr>
          <w:rFonts w:ascii="Arial" w:eastAsia="Arial Unicode MS" w:hAnsi="Arial" w:cs="Arial"/>
          <w:b/>
          <w:bCs/>
          <w:sz w:val="24"/>
        </w:rPr>
        <w:t xml:space="preserve"> SA</w:t>
      </w:r>
      <w:r w:rsidR="004077F1">
        <w:rPr>
          <w:rFonts w:ascii="Arial" w:eastAsia="Arial Unicode MS" w:hAnsi="Arial" w:cs="Arial"/>
          <w:b/>
          <w:bCs/>
          <w:sz w:val="24"/>
        </w:rPr>
        <w:t xml:space="preserve"> </w:t>
      </w:r>
      <w:r>
        <w:rPr>
          <w:rFonts w:ascii="Arial" w:eastAsia="Arial Unicode MS" w:hAnsi="Arial" w:cs="Arial"/>
          <w:b/>
          <w:bCs/>
          <w:sz w:val="24"/>
        </w:rPr>
        <w:t>Meeting #9</w:t>
      </w:r>
      <w:r w:rsidR="00F165E2">
        <w:rPr>
          <w:rFonts w:ascii="Arial" w:eastAsia="Arial Unicode MS" w:hAnsi="Arial" w:cs="Arial"/>
          <w:b/>
          <w:bCs/>
          <w:sz w:val="24"/>
        </w:rPr>
        <w:t>6</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9E3449" w:rsidRPr="009E3449">
        <w:rPr>
          <w:rFonts w:ascii="Arial" w:eastAsia="Arial Unicode MS" w:hAnsi="Arial" w:cs="Arial"/>
          <w:b/>
          <w:bCs/>
          <w:i/>
          <w:sz w:val="28"/>
        </w:rPr>
        <w:t>SP-22</w:t>
      </w:r>
      <w:bookmarkStart w:id="0" w:name="_GoBack"/>
      <w:bookmarkEnd w:id="0"/>
      <w:r w:rsidR="001C7D0A" w:rsidRPr="001C7D0A">
        <w:rPr>
          <w:rFonts w:ascii="Arial" w:eastAsia="Arial Unicode MS" w:hAnsi="Arial" w:cs="Arial"/>
          <w:b/>
          <w:bCs/>
          <w:i/>
          <w:sz w:val="28"/>
        </w:rPr>
        <w:t>0640</w:t>
      </w:r>
    </w:p>
    <w:p w14:paraId="5102843B" w14:textId="1EB591BB" w:rsidR="00AB39FA" w:rsidRPr="00927C1B" w:rsidRDefault="002D1C05"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Budapest, Hungary,</w:t>
      </w:r>
      <w:r w:rsidR="004077F1">
        <w:rPr>
          <w:rFonts w:ascii="Arial" w:eastAsia="Arial Unicode MS" w:hAnsi="Arial" w:cs="Arial"/>
          <w:b/>
          <w:bCs/>
          <w:sz w:val="24"/>
        </w:rPr>
        <w:t xml:space="preserve"> </w:t>
      </w:r>
      <w:r w:rsidR="00F165E2">
        <w:rPr>
          <w:rFonts w:ascii="Arial" w:eastAsia="Arial Unicode MS" w:hAnsi="Arial" w:cs="Arial"/>
          <w:b/>
          <w:bCs/>
          <w:sz w:val="24"/>
        </w:rPr>
        <w:t>June 7-10 2022</w:t>
      </w:r>
      <w:r w:rsidR="00AB39FA" w:rsidRPr="00927C1B">
        <w:rPr>
          <w:rFonts w:ascii="Arial" w:eastAsia="Arial Unicode MS" w:hAnsi="Arial" w:cs="Arial"/>
          <w:b/>
          <w:bCs/>
        </w:rPr>
        <w:tab/>
      </w:r>
      <w:r w:rsidR="00AB39FA">
        <w:rPr>
          <w:rFonts w:ascii="Arial" w:hAnsi="Arial" w:cs="Arial"/>
          <w:b/>
          <w:bCs/>
          <w:color w:val="0000FF"/>
        </w:rPr>
        <w:t>(revision of</w:t>
      </w:r>
      <w:r w:rsidR="00AB39FA" w:rsidRPr="00E879AF">
        <w:rPr>
          <w:rFonts w:ascii="Arial" w:hAnsi="Arial" w:cs="Arial"/>
          <w:b/>
          <w:bCs/>
          <w:color w:val="0000FF"/>
        </w:rPr>
        <w:t>)</w:t>
      </w:r>
    </w:p>
    <w:p w14:paraId="6897ABA4" w14:textId="77777777" w:rsidR="00A24F28" w:rsidRPr="00AB39FA" w:rsidRDefault="00A24F28" w:rsidP="00A24F28">
      <w:pPr>
        <w:rPr>
          <w:rFonts w:ascii="Arial" w:hAnsi="Arial" w:cs="Arial"/>
        </w:rPr>
      </w:pPr>
    </w:p>
    <w:p w14:paraId="1DA0951C" w14:textId="569785F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27F96">
        <w:rPr>
          <w:rFonts w:ascii="Arial" w:hAnsi="Arial" w:cs="Arial"/>
          <w:b/>
        </w:rPr>
        <w:t>Samsung</w:t>
      </w:r>
    </w:p>
    <w:p w14:paraId="3485278B" w14:textId="6ECDE70E"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65E2">
        <w:rPr>
          <w:rFonts w:ascii="Arial" w:hAnsi="Arial" w:cs="Arial"/>
          <w:b/>
        </w:rPr>
        <w:t xml:space="preserve">Discussion </w:t>
      </w:r>
      <w:r w:rsidR="00F27F96" w:rsidRPr="00F27F96">
        <w:rPr>
          <w:rFonts w:ascii="Arial" w:hAnsi="Arial" w:cs="Arial"/>
          <w:b/>
        </w:rPr>
        <w:t>of Rel-19 content planning/prioritization process</w:t>
      </w:r>
      <w:r w:rsidR="00F165E2">
        <w:rPr>
          <w:rFonts w:ascii="Arial" w:hAnsi="Arial" w:cs="Arial"/>
          <w:b/>
        </w:rPr>
        <w:t xml:space="preserve"> </w:t>
      </w:r>
    </w:p>
    <w:p w14:paraId="734AC733" w14:textId="0653B0FA"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077F1">
        <w:rPr>
          <w:rFonts w:ascii="Arial" w:hAnsi="Arial" w:cs="Arial"/>
          <w:b/>
          <w:color w:val="222222"/>
          <w:shd w:val="clear" w:color="auto" w:fill="FFFFFF"/>
        </w:rPr>
        <w:t>Discussion</w:t>
      </w:r>
    </w:p>
    <w:p w14:paraId="16C8E937" w14:textId="2F0EF0D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F27F96">
        <w:rPr>
          <w:rFonts w:ascii="Arial" w:hAnsi="Arial" w:cs="Arial"/>
          <w:b/>
        </w:rPr>
        <w:t>7</w:t>
      </w:r>
      <w:r w:rsidR="00F0088F">
        <w:rPr>
          <w:rFonts w:ascii="Arial" w:hAnsi="Arial" w:cs="Arial"/>
          <w:b/>
        </w:rPr>
        <w:t>.5</w:t>
      </w:r>
    </w:p>
    <w:p w14:paraId="34A795DC" w14:textId="15DAD95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7F96">
        <w:rPr>
          <w:rFonts w:ascii="Arial" w:hAnsi="Arial" w:cs="Arial"/>
          <w:b/>
        </w:rPr>
        <w:t>Rel-19</w:t>
      </w:r>
    </w:p>
    <w:p w14:paraId="1C2CD936" w14:textId="61F7EC6A"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F27F96">
        <w:rPr>
          <w:rFonts w:ascii="Arial" w:hAnsi="Arial" w:cs="Arial"/>
          <w:i/>
        </w:rPr>
        <w:t>Discussion of Rel-19 content planning/prioritization process</w:t>
      </w:r>
    </w:p>
    <w:p w14:paraId="7F95C09C" w14:textId="0B41E318" w:rsidR="00A93620" w:rsidRDefault="00B3593E" w:rsidP="00B3593E">
      <w:pPr>
        <w:pStyle w:val="Heading1"/>
      </w:pPr>
      <w:r w:rsidRPr="00927C1B">
        <w:t xml:space="preserve">1. </w:t>
      </w:r>
      <w:r w:rsidR="00E12F42">
        <w:t>Discussion</w:t>
      </w:r>
    </w:p>
    <w:p w14:paraId="2EBC5E10" w14:textId="77777777" w:rsidR="00BF1EF1" w:rsidRDefault="00BF1EF1" w:rsidP="00BF1EF1">
      <w:pPr>
        <w:pStyle w:val="Heading2"/>
        <w:rPr>
          <w:lang w:val="en-US" w:eastAsia="zh-CN"/>
        </w:rPr>
      </w:pPr>
      <w:r>
        <w:rPr>
          <w:lang w:val="en-US" w:eastAsia="zh-CN"/>
        </w:rPr>
        <w:t>Introduction</w:t>
      </w:r>
    </w:p>
    <w:p w14:paraId="74459D1F" w14:textId="0B71534C" w:rsidR="00E12F42" w:rsidRDefault="00E12F42" w:rsidP="00E12F42">
      <w:pPr>
        <w:rPr>
          <w:rFonts w:eastAsiaTheme="minorEastAsia"/>
          <w:lang w:val="en-US" w:eastAsia="zh-CN"/>
        </w:rPr>
      </w:pPr>
      <w:r w:rsidRPr="00E12F42">
        <w:rPr>
          <w:rFonts w:eastAsiaTheme="minorEastAsia"/>
          <w:lang w:val="en-US" w:eastAsia="zh-CN"/>
        </w:rPr>
        <w:t xml:space="preserve">The amount of work proposed by </w:t>
      </w:r>
      <w:r>
        <w:rPr>
          <w:rFonts w:eastAsiaTheme="minorEastAsia"/>
          <w:lang w:val="en-US" w:eastAsia="zh-CN"/>
        </w:rPr>
        <w:t>companies in SA2 has been increasing over multiple releases</w:t>
      </w:r>
      <w:r w:rsidRPr="00E12F42">
        <w:rPr>
          <w:rFonts w:eastAsiaTheme="minorEastAsia"/>
          <w:lang w:val="en-US" w:eastAsia="zh-CN"/>
        </w:rPr>
        <w:t>, but the capacity of the group has reached its limit</w:t>
      </w:r>
      <w:r>
        <w:rPr>
          <w:rFonts w:eastAsiaTheme="minorEastAsia"/>
          <w:lang w:val="en-US" w:eastAsia="zh-CN"/>
        </w:rPr>
        <w:t>. This has meant that in each of the last three releases a prioritization/downscoping of the proposed work has been necessary, with SA Plenary and SA2 involved in that exercise. There seems no reason to expect any difference in Rel-19.</w:t>
      </w:r>
    </w:p>
    <w:p w14:paraId="6F943920" w14:textId="0BDB2E19" w:rsidR="005C0F3F" w:rsidRPr="005C0F3F" w:rsidRDefault="005C0F3F" w:rsidP="00E12F42">
      <w:pPr>
        <w:rPr>
          <w:rFonts w:eastAsiaTheme="minorEastAsia"/>
          <w:b/>
          <w:lang w:val="en-US" w:eastAsia="zh-CN"/>
        </w:rPr>
      </w:pPr>
      <w:r w:rsidRPr="005C0F3F">
        <w:rPr>
          <w:rFonts w:eastAsiaTheme="minorEastAsia"/>
          <w:b/>
          <w:lang w:val="en-US" w:eastAsia="zh-CN"/>
        </w:rPr>
        <w:t>Conclusion 1: We expect prioritization will be needed for SA2 for Rel-19.</w:t>
      </w:r>
    </w:p>
    <w:p w14:paraId="6199BCC5" w14:textId="013BDD1D" w:rsidR="00E12F42" w:rsidRDefault="00E12F42" w:rsidP="00E12F42">
      <w:pPr>
        <w:rPr>
          <w:rFonts w:eastAsiaTheme="minorEastAsia"/>
          <w:lang w:val="en-US" w:eastAsia="zh-CN"/>
        </w:rPr>
      </w:pPr>
      <w:r>
        <w:rPr>
          <w:rFonts w:eastAsiaTheme="minorEastAsia"/>
          <w:lang w:val="en-US" w:eastAsia="zh-CN"/>
        </w:rPr>
        <w:t>Until now such prioritization/downscoping haven’t be necessary in other SA WG’s, but there are signs that w</w:t>
      </w:r>
      <w:r w:rsidRPr="00E12F42">
        <w:rPr>
          <w:rFonts w:eastAsiaTheme="minorEastAsia"/>
          <w:lang w:val="en-US" w:eastAsia="zh-CN"/>
        </w:rPr>
        <w:t xml:space="preserve">orkload is increasing across </w:t>
      </w:r>
      <w:r>
        <w:rPr>
          <w:rFonts w:eastAsiaTheme="minorEastAsia"/>
          <w:lang w:val="en-US" w:eastAsia="zh-CN"/>
        </w:rPr>
        <w:t>multiple g</w:t>
      </w:r>
      <w:r w:rsidRPr="00E12F42">
        <w:rPr>
          <w:rFonts w:eastAsiaTheme="minorEastAsia"/>
          <w:lang w:val="en-US" w:eastAsia="zh-CN"/>
        </w:rPr>
        <w:t xml:space="preserve">roups, and this could lead to prioritization being necessary for </w:t>
      </w:r>
      <w:r>
        <w:rPr>
          <w:rFonts w:eastAsiaTheme="minorEastAsia"/>
          <w:lang w:val="en-US" w:eastAsia="zh-CN"/>
        </w:rPr>
        <w:t>these groups in Rel-19.</w:t>
      </w:r>
    </w:p>
    <w:p w14:paraId="2124E373" w14:textId="6C35565E" w:rsidR="005C0F3F" w:rsidRPr="005C0F3F" w:rsidRDefault="005C0F3F" w:rsidP="00E12F42">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2</w:t>
      </w:r>
      <w:r w:rsidRPr="005C0F3F">
        <w:rPr>
          <w:rFonts w:eastAsiaTheme="minorEastAsia"/>
          <w:b/>
          <w:lang w:val="en-US" w:eastAsia="zh-CN"/>
        </w:rPr>
        <w:t xml:space="preserve">: We expect prioritization will be needed for </w:t>
      </w:r>
      <w:r>
        <w:rPr>
          <w:rFonts w:eastAsiaTheme="minorEastAsia"/>
          <w:b/>
          <w:lang w:val="en-US" w:eastAsia="zh-CN"/>
        </w:rPr>
        <w:t>other SA WGs</w:t>
      </w:r>
      <w:r w:rsidRPr="005C0F3F">
        <w:rPr>
          <w:rFonts w:eastAsiaTheme="minorEastAsia"/>
          <w:b/>
          <w:lang w:val="en-US" w:eastAsia="zh-CN"/>
        </w:rPr>
        <w:t xml:space="preserve"> for Rel-19.</w:t>
      </w:r>
    </w:p>
    <w:p w14:paraId="1157BD46" w14:textId="60911D96" w:rsidR="00E17336" w:rsidRDefault="00E12F42" w:rsidP="00E12F42">
      <w:pPr>
        <w:rPr>
          <w:rFonts w:eastAsiaTheme="minorEastAsia"/>
          <w:lang w:val="en-US" w:eastAsia="zh-CN"/>
        </w:rPr>
      </w:pPr>
      <w:r w:rsidRPr="00E12F42">
        <w:rPr>
          <w:rFonts w:eastAsiaTheme="minorEastAsia"/>
          <w:lang w:val="en-US" w:eastAsia="zh-CN"/>
        </w:rPr>
        <w:t xml:space="preserve">This is likely to present a greater challenge to </w:t>
      </w:r>
      <w:r>
        <w:rPr>
          <w:rFonts w:eastAsiaTheme="minorEastAsia"/>
          <w:lang w:val="en-US" w:eastAsia="zh-CN"/>
        </w:rPr>
        <w:t xml:space="preserve">SA Plenary and the WG’s, </w:t>
      </w:r>
      <w:r w:rsidR="005C0F3F">
        <w:rPr>
          <w:rFonts w:eastAsiaTheme="minorEastAsia"/>
          <w:lang w:val="en-US" w:eastAsia="zh-CN"/>
        </w:rPr>
        <w:t xml:space="preserve">to </w:t>
      </w:r>
      <w:r>
        <w:rPr>
          <w:rFonts w:eastAsiaTheme="minorEastAsia"/>
          <w:lang w:val="en-US" w:eastAsia="zh-CN"/>
        </w:rPr>
        <w:t>coordinate such prioritization, f</w:t>
      </w:r>
      <w:r w:rsidRPr="00E12F42">
        <w:rPr>
          <w:rFonts w:eastAsiaTheme="minorEastAsia"/>
          <w:lang w:val="en-US" w:eastAsia="zh-CN"/>
        </w:rPr>
        <w:t>or example where SA2 and SA6 have related proposed studies</w:t>
      </w:r>
      <w:r>
        <w:rPr>
          <w:rFonts w:eastAsiaTheme="minorEastAsia"/>
          <w:lang w:val="en-US" w:eastAsia="zh-CN"/>
        </w:rPr>
        <w:t>.</w:t>
      </w:r>
      <w:r w:rsidR="00BF1EF1">
        <w:rPr>
          <w:rFonts w:eastAsiaTheme="minorEastAsia"/>
          <w:lang w:val="en-US" w:eastAsia="zh-CN"/>
        </w:rPr>
        <w:t xml:space="preserve"> To address this challenge we should consider what process should be followed for Rel-19, something similar to bottom-up approach used so far, or something more similar to RAN’s top-down approach.</w:t>
      </w:r>
    </w:p>
    <w:p w14:paraId="553F49EF" w14:textId="60AA7DA7" w:rsidR="005C0F3F" w:rsidRPr="005C0F3F" w:rsidRDefault="005C0F3F" w:rsidP="00E12F42">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3</w:t>
      </w:r>
      <w:r w:rsidRPr="005C0F3F">
        <w:rPr>
          <w:rFonts w:eastAsiaTheme="minorEastAsia"/>
          <w:b/>
          <w:lang w:val="en-US" w:eastAsia="zh-CN"/>
        </w:rPr>
        <w:t xml:space="preserve">: </w:t>
      </w:r>
      <w:r>
        <w:rPr>
          <w:rFonts w:eastAsiaTheme="minorEastAsia"/>
          <w:b/>
          <w:lang w:val="en-US" w:eastAsia="zh-CN"/>
        </w:rPr>
        <w:t>This is likely to present a coordination challenge to SA and the WGs</w:t>
      </w:r>
      <w:r w:rsidR="00E370E6">
        <w:rPr>
          <w:rFonts w:eastAsiaTheme="minorEastAsia"/>
          <w:b/>
          <w:lang w:val="en-US" w:eastAsia="zh-CN"/>
        </w:rPr>
        <w:t xml:space="preserve"> for future releases</w:t>
      </w:r>
      <w:r>
        <w:rPr>
          <w:rFonts w:eastAsiaTheme="minorEastAsia"/>
          <w:b/>
          <w:lang w:val="en-US" w:eastAsia="zh-CN"/>
        </w:rPr>
        <w:t>.</w:t>
      </w:r>
    </w:p>
    <w:p w14:paraId="4518461B" w14:textId="636F0BAC" w:rsidR="00BF1EF1" w:rsidRPr="00E12F42" w:rsidRDefault="00BF1EF1" w:rsidP="00BF1EF1">
      <w:pPr>
        <w:pStyle w:val="Heading2"/>
        <w:rPr>
          <w:lang w:val="en-US" w:eastAsia="zh-CN"/>
        </w:rPr>
      </w:pPr>
      <w:r>
        <w:rPr>
          <w:lang w:val="en-US" w:eastAsia="zh-CN"/>
        </w:rPr>
        <w:t>Bottom-up</w:t>
      </w:r>
    </w:p>
    <w:p w14:paraId="464FAC52" w14:textId="1B96A44C" w:rsidR="00E92D35" w:rsidRPr="00E92D35" w:rsidRDefault="00BF1EF1" w:rsidP="00E92D35">
      <w:pPr>
        <w:rPr>
          <w:rFonts w:eastAsiaTheme="minorEastAsia"/>
          <w:lang w:val="en-US" w:eastAsia="zh-CN"/>
        </w:rPr>
      </w:pPr>
      <w:r>
        <w:rPr>
          <w:rFonts w:eastAsiaTheme="minorEastAsia"/>
          <w:lang w:val="en-US" w:eastAsia="zh-CN"/>
        </w:rPr>
        <w:t>A bottom up</w:t>
      </w:r>
      <w:r w:rsidR="00E92D35" w:rsidRPr="00E92D35">
        <w:rPr>
          <w:rFonts w:eastAsiaTheme="minorEastAsia"/>
          <w:lang w:val="en-US" w:eastAsia="zh-CN"/>
        </w:rPr>
        <w:t xml:space="preserve"> approach has been followed so far by SA WGs</w:t>
      </w:r>
      <w:r w:rsidR="00E92D35">
        <w:rPr>
          <w:rFonts w:eastAsiaTheme="minorEastAsia"/>
          <w:lang w:val="en-US" w:eastAsia="zh-CN"/>
        </w:rPr>
        <w:t xml:space="preserve"> to determine the content for a release:</w:t>
      </w:r>
    </w:p>
    <w:p w14:paraId="3360FED6" w14:textId="77777777" w:rsidR="00E92D35" w:rsidRDefault="00E92D35" w:rsidP="00E92D35">
      <w:pPr>
        <w:pStyle w:val="ListParagraph"/>
        <w:numPr>
          <w:ilvl w:val="0"/>
          <w:numId w:val="27"/>
        </w:numPr>
        <w:rPr>
          <w:rFonts w:eastAsiaTheme="minorEastAsia"/>
          <w:lang w:val="en-US" w:eastAsia="zh-CN"/>
        </w:rPr>
      </w:pPr>
      <w:r w:rsidRPr="00E92D35">
        <w:rPr>
          <w:rFonts w:eastAsiaTheme="minorEastAsia"/>
          <w:lang w:val="en-US" w:eastAsia="zh-CN"/>
        </w:rPr>
        <w:t>Companies propose WI’s in the WGs</w:t>
      </w:r>
    </w:p>
    <w:p w14:paraId="1D16F4F4" w14:textId="1841EF86" w:rsidR="00E92D35" w:rsidRPr="00E92D35" w:rsidRDefault="00E92D35" w:rsidP="00E92D35">
      <w:pPr>
        <w:pStyle w:val="ListParagraph"/>
        <w:numPr>
          <w:ilvl w:val="0"/>
          <w:numId w:val="27"/>
        </w:numPr>
        <w:rPr>
          <w:rFonts w:eastAsiaTheme="minorEastAsia"/>
          <w:lang w:val="en-US" w:eastAsia="zh-CN"/>
        </w:rPr>
      </w:pPr>
      <w:r w:rsidRPr="00E92D35">
        <w:rPr>
          <w:rFonts w:eastAsiaTheme="minorEastAsia"/>
          <w:lang w:val="en-US" w:eastAsia="zh-CN"/>
        </w:rPr>
        <w:t>The WGs discuss, modify and approve the WIDs</w:t>
      </w:r>
    </w:p>
    <w:p w14:paraId="24B3B07B" w14:textId="53B570F3" w:rsidR="00E92D35" w:rsidRPr="00E92D35" w:rsidRDefault="00E92D35" w:rsidP="00E92D35">
      <w:pPr>
        <w:pStyle w:val="ListParagraph"/>
        <w:numPr>
          <w:ilvl w:val="0"/>
          <w:numId w:val="27"/>
        </w:numPr>
        <w:rPr>
          <w:rFonts w:eastAsiaTheme="minorEastAsia"/>
          <w:lang w:val="en-US" w:eastAsia="zh-CN"/>
        </w:rPr>
      </w:pPr>
      <w:r>
        <w:rPr>
          <w:rFonts w:eastAsiaTheme="minorEastAsia"/>
          <w:lang w:val="en-US" w:eastAsia="zh-CN"/>
        </w:rPr>
        <w:t>If necessary, a</w:t>
      </w:r>
      <w:r w:rsidRPr="00E92D35">
        <w:rPr>
          <w:rFonts w:eastAsiaTheme="minorEastAsia"/>
          <w:lang w:val="en-US" w:eastAsia="zh-CN"/>
        </w:rPr>
        <w:t>t the end of the process SA Plenary deprioritize and down scope the WIDs to fit the TU budget</w:t>
      </w:r>
    </w:p>
    <w:p w14:paraId="6267530B" w14:textId="2815F1F4" w:rsidR="00E92D35" w:rsidRDefault="00E92D35" w:rsidP="00E92D35">
      <w:pPr>
        <w:rPr>
          <w:rFonts w:eastAsiaTheme="minorEastAsia"/>
          <w:lang w:val="en-US" w:eastAsia="zh-CN"/>
        </w:rPr>
      </w:pPr>
      <w:r w:rsidRPr="00E92D35">
        <w:rPr>
          <w:rFonts w:eastAsiaTheme="minorEastAsia"/>
          <w:lang w:val="en-US" w:eastAsia="zh-CN"/>
        </w:rPr>
        <w:t>This involve</w:t>
      </w:r>
      <w:r>
        <w:rPr>
          <w:rFonts w:eastAsiaTheme="minorEastAsia"/>
          <w:lang w:val="en-US" w:eastAsia="zh-CN"/>
        </w:rPr>
        <w:t xml:space="preserve">s significant effort by the WGs. In the last two releases it has been necessary to downscope </w:t>
      </w:r>
      <w:r w:rsidR="00457CE2">
        <w:rPr>
          <w:rFonts w:eastAsiaTheme="minorEastAsia"/>
          <w:lang w:val="en-US" w:eastAsia="zh-CN"/>
        </w:rPr>
        <w:t>t</w:t>
      </w:r>
      <w:r>
        <w:rPr>
          <w:rFonts w:eastAsiaTheme="minorEastAsia"/>
          <w:lang w:val="en-US" w:eastAsia="zh-CN"/>
        </w:rPr>
        <w:t>he proposed SIDs and WIDs in SA2 by around 50%, so a significant amount of the work to define the discarded 50% is wasted.</w:t>
      </w:r>
    </w:p>
    <w:p w14:paraId="55B33F62" w14:textId="79298194" w:rsidR="00BE0346" w:rsidRPr="00E92D35" w:rsidRDefault="00BE0346" w:rsidP="00E92D35">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4</w:t>
      </w:r>
      <w:r w:rsidRPr="005C0F3F">
        <w:rPr>
          <w:rFonts w:eastAsiaTheme="minorEastAsia"/>
          <w:b/>
          <w:lang w:val="en-US" w:eastAsia="zh-CN"/>
        </w:rPr>
        <w:t>:</w:t>
      </w:r>
      <w:r>
        <w:rPr>
          <w:rFonts w:eastAsiaTheme="minorEastAsia"/>
          <w:b/>
          <w:lang w:val="en-US" w:eastAsia="zh-CN"/>
        </w:rPr>
        <w:t xml:space="preserve"> Using the existing bottom-up approach has resulted in wasted time in SA2.</w:t>
      </w:r>
    </w:p>
    <w:p w14:paraId="084AE008" w14:textId="5E4E15C3" w:rsidR="00E92D35" w:rsidRDefault="00E92D35" w:rsidP="00E92D35">
      <w:pPr>
        <w:rPr>
          <w:rFonts w:eastAsiaTheme="minorEastAsia"/>
          <w:lang w:val="en-US" w:eastAsia="zh-CN"/>
        </w:rPr>
      </w:pPr>
      <w:r>
        <w:rPr>
          <w:rFonts w:eastAsiaTheme="minorEastAsia"/>
          <w:lang w:val="en-US" w:eastAsia="zh-CN"/>
        </w:rPr>
        <w:t>The preparation of the SIDs and WIDs typically occurs</w:t>
      </w:r>
      <w:r w:rsidRPr="00E92D35">
        <w:rPr>
          <w:rFonts w:eastAsiaTheme="minorEastAsia"/>
          <w:lang w:val="en-US" w:eastAsia="zh-CN"/>
        </w:rPr>
        <w:t xml:space="preserve"> at the same time as the cur</w:t>
      </w:r>
      <w:r>
        <w:rPr>
          <w:rFonts w:eastAsiaTheme="minorEastAsia"/>
          <w:lang w:val="en-US" w:eastAsia="zh-CN"/>
        </w:rPr>
        <w:t xml:space="preserve">rent release is being completed. The time taken to approve the SIDs and WIDs at the </w:t>
      </w:r>
      <w:r w:rsidR="002E2835">
        <w:rPr>
          <w:rFonts w:eastAsiaTheme="minorEastAsia"/>
          <w:lang w:val="en-US" w:eastAsia="zh-CN"/>
        </w:rPr>
        <w:t xml:space="preserve">SA </w:t>
      </w:r>
      <w:r>
        <w:rPr>
          <w:rFonts w:eastAsiaTheme="minorEastAsia"/>
          <w:lang w:val="en-US" w:eastAsia="zh-CN"/>
        </w:rPr>
        <w:t>Plenary level also means that there is typically a delay</w:t>
      </w:r>
      <w:r w:rsidRPr="00E92D35">
        <w:rPr>
          <w:rFonts w:eastAsiaTheme="minorEastAsia"/>
          <w:lang w:val="en-US" w:eastAsia="zh-CN"/>
        </w:rPr>
        <w:t xml:space="preserve"> </w:t>
      </w:r>
      <w:r w:rsidR="00E370E6">
        <w:rPr>
          <w:rFonts w:eastAsiaTheme="minorEastAsia"/>
          <w:lang w:val="en-US" w:eastAsia="zh-CN"/>
        </w:rPr>
        <w:t xml:space="preserve">of </w:t>
      </w:r>
      <w:r w:rsidRPr="00E92D35">
        <w:rPr>
          <w:rFonts w:eastAsiaTheme="minorEastAsia"/>
          <w:lang w:val="en-US" w:eastAsia="zh-CN"/>
        </w:rPr>
        <w:t xml:space="preserve">two quarters of time </w:t>
      </w:r>
      <w:r>
        <w:rPr>
          <w:rFonts w:eastAsiaTheme="minorEastAsia"/>
          <w:lang w:val="en-US" w:eastAsia="zh-CN"/>
        </w:rPr>
        <w:t>when technical work for the new release can</w:t>
      </w:r>
      <w:r w:rsidR="00E370E6">
        <w:rPr>
          <w:rFonts w:eastAsiaTheme="minorEastAsia"/>
          <w:lang w:val="en-US" w:eastAsia="zh-CN"/>
        </w:rPr>
        <w:t>not</w:t>
      </w:r>
      <w:r>
        <w:rPr>
          <w:rFonts w:eastAsiaTheme="minorEastAsia"/>
          <w:lang w:val="en-US" w:eastAsia="zh-CN"/>
        </w:rPr>
        <w:t xml:space="preserve"> start.</w:t>
      </w:r>
    </w:p>
    <w:p w14:paraId="485D1216" w14:textId="3CEA8DC3" w:rsidR="00BE0346" w:rsidRPr="00E92D35" w:rsidRDefault="00BE0346" w:rsidP="00E92D35">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5</w:t>
      </w:r>
      <w:r w:rsidRPr="005C0F3F">
        <w:rPr>
          <w:rFonts w:eastAsiaTheme="minorEastAsia"/>
          <w:b/>
          <w:lang w:val="en-US" w:eastAsia="zh-CN"/>
        </w:rPr>
        <w:t>:</w:t>
      </w:r>
      <w:r>
        <w:rPr>
          <w:rFonts w:eastAsiaTheme="minorEastAsia"/>
          <w:b/>
          <w:lang w:val="en-US" w:eastAsia="zh-CN"/>
        </w:rPr>
        <w:t xml:space="preserve"> The existing bottom-up approach impacts the completion of the previous release, and delays the start of technical work for the new release.</w:t>
      </w:r>
    </w:p>
    <w:p w14:paraId="4B39AA2D" w14:textId="3C655024" w:rsidR="00E17336" w:rsidRDefault="002E2835" w:rsidP="00E92D35">
      <w:pPr>
        <w:rPr>
          <w:rFonts w:eastAsiaTheme="minorEastAsia"/>
          <w:lang w:val="en-US" w:eastAsia="zh-CN"/>
        </w:rPr>
      </w:pPr>
      <w:r>
        <w:rPr>
          <w:rFonts w:eastAsiaTheme="minorEastAsia"/>
          <w:lang w:val="en-US" w:eastAsia="zh-CN"/>
        </w:rPr>
        <w:lastRenderedPageBreak/>
        <w:t>We therefore see issues with the process that has been followed in recent releases, but it should be possible to investigate and agree on improvements to the process that would address these.</w:t>
      </w:r>
    </w:p>
    <w:p w14:paraId="11A4252B" w14:textId="15243DCA" w:rsidR="00BE0346" w:rsidRDefault="00BE0346" w:rsidP="00E92D35">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6</w:t>
      </w:r>
      <w:r w:rsidRPr="005C0F3F">
        <w:rPr>
          <w:rFonts w:eastAsiaTheme="minorEastAsia"/>
          <w:b/>
          <w:lang w:val="en-US" w:eastAsia="zh-CN"/>
        </w:rPr>
        <w:t>:</w:t>
      </w:r>
      <w:r>
        <w:rPr>
          <w:rFonts w:eastAsiaTheme="minorEastAsia"/>
          <w:b/>
          <w:lang w:val="en-US" w:eastAsia="zh-CN"/>
        </w:rPr>
        <w:t xml:space="preserve"> There are issues with the existing approach, </w:t>
      </w:r>
      <w:r w:rsidR="0071429A">
        <w:rPr>
          <w:rFonts w:eastAsiaTheme="minorEastAsia"/>
          <w:b/>
          <w:lang w:val="en-US" w:eastAsia="zh-CN"/>
        </w:rPr>
        <w:t>but we have some ideas on how to resolve them and would like to work with other companies on this to provide joint recommendations to a future SA meeting.</w:t>
      </w:r>
      <w:r>
        <w:rPr>
          <w:rFonts w:eastAsiaTheme="minorEastAsia"/>
          <w:b/>
          <w:lang w:val="en-US" w:eastAsia="zh-CN"/>
        </w:rPr>
        <w:t>.</w:t>
      </w:r>
    </w:p>
    <w:p w14:paraId="3ADA829B" w14:textId="2DC9F360" w:rsidR="00BF1EF1" w:rsidRDefault="00BF1EF1" w:rsidP="00BF1EF1">
      <w:pPr>
        <w:pStyle w:val="Heading2"/>
        <w:rPr>
          <w:lang w:val="en-US" w:eastAsia="zh-CN"/>
        </w:rPr>
      </w:pPr>
      <w:r>
        <w:rPr>
          <w:lang w:val="en-US" w:eastAsia="zh-CN"/>
        </w:rPr>
        <w:t>Top-down</w:t>
      </w:r>
    </w:p>
    <w:p w14:paraId="5082939A" w14:textId="7FA4E835" w:rsidR="002E2835" w:rsidRDefault="002E2835" w:rsidP="00E92D35">
      <w:pPr>
        <w:rPr>
          <w:rFonts w:eastAsiaTheme="minorEastAsia"/>
          <w:lang w:val="en-US" w:eastAsia="zh-CN"/>
        </w:rPr>
      </w:pPr>
      <w:r>
        <w:rPr>
          <w:rFonts w:eastAsiaTheme="minorEastAsia"/>
          <w:lang w:val="en-US" w:eastAsia="zh-CN"/>
        </w:rPr>
        <w:t>An alternative to the bottom-up approach is a “top-down” process as RAN has been following in their recent releases.</w:t>
      </w:r>
    </w:p>
    <w:p w14:paraId="6C1FA489" w14:textId="6402A30C" w:rsidR="002E2835" w:rsidRPr="002E2835" w:rsidRDefault="002E2835" w:rsidP="002E2835">
      <w:pPr>
        <w:rPr>
          <w:rFonts w:eastAsiaTheme="minorEastAsia"/>
          <w:lang w:val="en-US" w:eastAsia="zh-CN"/>
        </w:rPr>
      </w:pPr>
      <w:r>
        <w:rPr>
          <w:rFonts w:eastAsiaTheme="minorEastAsia"/>
          <w:lang w:val="en-US" w:eastAsia="zh-CN"/>
        </w:rPr>
        <w:t xml:space="preserve">Broadly, this involves companies proposing focus areas in Plenary, </w:t>
      </w:r>
      <w:r w:rsidRPr="002E2835">
        <w:rPr>
          <w:rFonts w:eastAsiaTheme="minorEastAsia"/>
          <w:lang w:val="en-US" w:eastAsia="zh-CN"/>
        </w:rPr>
        <w:t xml:space="preserve">Plenary agrees focus areas, </w:t>
      </w:r>
      <w:r>
        <w:rPr>
          <w:rFonts w:eastAsiaTheme="minorEastAsia"/>
          <w:lang w:val="en-US" w:eastAsia="zh-CN"/>
        </w:rPr>
        <w:t xml:space="preserve">and </w:t>
      </w:r>
      <w:r w:rsidR="0071429A">
        <w:rPr>
          <w:rFonts w:eastAsiaTheme="minorEastAsia"/>
          <w:lang w:val="en-US" w:eastAsia="zh-CN"/>
        </w:rPr>
        <w:t xml:space="preserve">“technically correct” </w:t>
      </w:r>
      <w:r>
        <w:rPr>
          <w:rFonts w:eastAsiaTheme="minorEastAsia"/>
          <w:lang w:val="en-US" w:eastAsia="zh-CN"/>
        </w:rPr>
        <w:t>SIDs/</w:t>
      </w:r>
      <w:r w:rsidRPr="002E2835">
        <w:rPr>
          <w:rFonts w:eastAsiaTheme="minorEastAsia"/>
          <w:lang w:val="en-US" w:eastAsia="zh-CN"/>
        </w:rPr>
        <w:t>WIDs are generated by Plenary</w:t>
      </w:r>
      <w:r>
        <w:rPr>
          <w:rFonts w:eastAsiaTheme="minorEastAsia"/>
          <w:lang w:val="en-US" w:eastAsia="zh-CN"/>
        </w:rPr>
        <w:t>. This is done through a mix of workshops, moderated email discussions and discussions in regular Plenary meetings.</w:t>
      </w:r>
    </w:p>
    <w:p w14:paraId="3CC85153" w14:textId="6E072D1A" w:rsidR="002E2835" w:rsidRDefault="0029203E" w:rsidP="002E2835">
      <w:pPr>
        <w:rPr>
          <w:rFonts w:eastAsiaTheme="minorEastAsia"/>
          <w:lang w:val="en-US" w:eastAsia="zh-CN"/>
        </w:rPr>
      </w:pPr>
      <w:r>
        <w:rPr>
          <w:rFonts w:eastAsiaTheme="minorEastAsia"/>
          <w:lang w:val="en-US" w:eastAsia="zh-CN"/>
        </w:rPr>
        <w:t>Clearly, s</w:t>
      </w:r>
      <w:r w:rsidR="002E2835" w:rsidRPr="002E2835">
        <w:rPr>
          <w:rFonts w:eastAsiaTheme="minorEastAsia"/>
          <w:lang w:val="en-US" w:eastAsia="zh-CN"/>
        </w:rPr>
        <w:t>ignificant effort is required at the Plenary level, but scoping of the work is part of the whole process</w:t>
      </w:r>
      <w:r>
        <w:rPr>
          <w:rFonts w:eastAsiaTheme="minorEastAsia"/>
          <w:lang w:val="en-US" w:eastAsia="zh-CN"/>
        </w:rPr>
        <w:t xml:space="preserve">, rather than concentrated at the end of the process. If there are any cross-WG dependencies/aspects, this can be handled </w:t>
      </w:r>
      <w:r w:rsidR="002E2835" w:rsidRPr="002E2835">
        <w:rPr>
          <w:rFonts w:eastAsiaTheme="minorEastAsia"/>
          <w:lang w:val="en-US" w:eastAsia="zh-CN"/>
        </w:rPr>
        <w:t>at the Plenary level</w:t>
      </w:r>
      <w:r>
        <w:rPr>
          <w:rFonts w:eastAsiaTheme="minorEastAsia"/>
          <w:lang w:val="en-US" w:eastAsia="zh-CN"/>
        </w:rPr>
        <w:t>.</w:t>
      </w:r>
      <w:r w:rsidR="0071429A">
        <w:rPr>
          <w:rFonts w:eastAsiaTheme="minorEastAsia"/>
          <w:lang w:val="en-US" w:eastAsia="zh-CN"/>
        </w:rPr>
        <w:t xml:space="preserve"> WG’s do not have to be directly involved in this work, freeing up some valuable WG meeting time.</w:t>
      </w:r>
    </w:p>
    <w:p w14:paraId="54B9971D" w14:textId="55F23B46" w:rsidR="00BE0346" w:rsidRPr="002E2835" w:rsidRDefault="00BE0346" w:rsidP="002E2835">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7</w:t>
      </w:r>
      <w:r w:rsidRPr="005C0F3F">
        <w:rPr>
          <w:rFonts w:eastAsiaTheme="minorEastAsia"/>
          <w:b/>
          <w:lang w:val="en-US" w:eastAsia="zh-CN"/>
        </w:rPr>
        <w:t>:</w:t>
      </w:r>
      <w:r>
        <w:rPr>
          <w:rFonts w:eastAsiaTheme="minorEastAsia"/>
          <w:b/>
          <w:lang w:val="en-US" w:eastAsia="zh-CN"/>
        </w:rPr>
        <w:t xml:space="preserve"> A top-down approach could reduce wasted effort and could make cross-WG co-ordination easier.</w:t>
      </w:r>
    </w:p>
    <w:p w14:paraId="746D40F2" w14:textId="0EC7C0D3" w:rsidR="002E2835" w:rsidRDefault="0029203E" w:rsidP="002E2835">
      <w:pPr>
        <w:rPr>
          <w:rFonts w:eastAsiaTheme="minorEastAsia"/>
          <w:lang w:val="en-US" w:eastAsia="zh-CN"/>
        </w:rPr>
      </w:pPr>
      <w:r>
        <w:rPr>
          <w:rFonts w:eastAsiaTheme="minorEastAsia"/>
          <w:lang w:val="en-US" w:eastAsia="zh-CN"/>
        </w:rPr>
        <w:t>However, this approach means that t</w:t>
      </w:r>
      <w:r w:rsidRPr="002E2835">
        <w:rPr>
          <w:rFonts w:eastAsiaTheme="minorEastAsia"/>
          <w:lang w:val="en-US" w:eastAsia="zh-CN"/>
        </w:rPr>
        <w:t>echnical experts (</w:t>
      </w:r>
      <w:r>
        <w:rPr>
          <w:rFonts w:eastAsiaTheme="minorEastAsia"/>
          <w:lang w:val="en-US" w:eastAsia="zh-CN"/>
        </w:rPr>
        <w:t xml:space="preserve">typically </w:t>
      </w:r>
      <w:r w:rsidRPr="002E2835">
        <w:rPr>
          <w:rFonts w:eastAsiaTheme="minorEastAsia"/>
          <w:lang w:val="en-US" w:eastAsia="zh-CN"/>
        </w:rPr>
        <w:t>WG delegates) need to be fully engaged in the process</w:t>
      </w:r>
      <w:r>
        <w:rPr>
          <w:rFonts w:eastAsiaTheme="minorEastAsia"/>
          <w:lang w:val="en-US" w:eastAsia="zh-CN"/>
        </w:rPr>
        <w:t xml:space="preserve">, and </w:t>
      </w:r>
      <w:r w:rsidR="002E2835" w:rsidRPr="002E2835">
        <w:rPr>
          <w:rFonts w:eastAsiaTheme="minorEastAsia"/>
          <w:lang w:val="en-US" w:eastAsia="zh-CN"/>
        </w:rPr>
        <w:t>SA doesn’t have any experience with this way of working</w:t>
      </w:r>
      <w:r>
        <w:rPr>
          <w:rFonts w:eastAsiaTheme="minorEastAsia"/>
          <w:lang w:val="en-US" w:eastAsia="zh-CN"/>
        </w:rPr>
        <w:t>. While meetings have been electronic this isn’t so much of an issue, but if as hoped we return to regular face to face meetings it would require WG delegates to travel to Plenary meetings.</w:t>
      </w:r>
    </w:p>
    <w:p w14:paraId="6E71CF97" w14:textId="71FA763F" w:rsidR="0029203E" w:rsidRPr="003E34A1" w:rsidRDefault="0029203E" w:rsidP="002E2835">
      <w:pPr>
        <w:rPr>
          <w:rFonts w:eastAsiaTheme="minorEastAsia"/>
          <w:lang w:val="en-US" w:eastAsia="zh-CN"/>
        </w:rPr>
      </w:pPr>
      <w:r>
        <w:rPr>
          <w:rFonts w:eastAsiaTheme="minorEastAsia"/>
          <w:lang w:val="en-US" w:eastAsia="zh-CN"/>
        </w:rPr>
        <w:t>The structure of the work in SA WGs is also different to RAN, for example Stage 1 being handled by SA1, typically starting well in advance of the agreement of the release content.</w:t>
      </w:r>
      <w:r w:rsidR="003E34A1">
        <w:rPr>
          <w:rFonts w:eastAsiaTheme="minorEastAsia"/>
          <w:lang w:val="en-US" w:eastAsia="zh-CN"/>
        </w:rPr>
        <w:t xml:space="preserve"> </w:t>
      </w:r>
      <w:r w:rsidR="003E34A1">
        <w:rPr>
          <w:lang w:val="en-US"/>
        </w:rPr>
        <w:t>I</w:t>
      </w:r>
      <w:r w:rsidR="003E34A1">
        <w:t xml:space="preserve">t could be advantageous to bring stage 1 planning into the release planning process, to better identify the scope of both </w:t>
      </w:r>
      <w:r w:rsidR="003E34A1">
        <w:t>the current and coming release.</w:t>
      </w:r>
      <w:r w:rsidR="003E34A1">
        <w:rPr>
          <w:rFonts w:eastAsiaTheme="minorEastAsia"/>
          <w:lang w:val="en-US" w:eastAsia="zh-CN"/>
        </w:rPr>
        <w:t xml:space="preserve"> </w:t>
      </w:r>
    </w:p>
    <w:p w14:paraId="397D002C" w14:textId="3D9898CB" w:rsidR="00BE0346" w:rsidRDefault="00BE0346" w:rsidP="002E2835">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8</w:t>
      </w:r>
      <w:r w:rsidRPr="005C0F3F">
        <w:rPr>
          <w:rFonts w:eastAsiaTheme="minorEastAsia"/>
          <w:b/>
          <w:lang w:val="en-US" w:eastAsia="zh-CN"/>
        </w:rPr>
        <w:t>:</w:t>
      </w:r>
      <w:r>
        <w:rPr>
          <w:rFonts w:eastAsiaTheme="minorEastAsia"/>
          <w:b/>
          <w:lang w:val="en-US" w:eastAsia="zh-CN"/>
        </w:rPr>
        <w:t xml:space="preserve"> A top-down approach has possible drawbacks, and would need to fit the way that SA WGs are organized.</w:t>
      </w:r>
    </w:p>
    <w:p w14:paraId="713A7880" w14:textId="416E83B9" w:rsidR="0029203E" w:rsidRDefault="0029203E" w:rsidP="002E2835">
      <w:pPr>
        <w:rPr>
          <w:rFonts w:eastAsiaTheme="minorEastAsia"/>
          <w:lang w:val="en-US" w:eastAsia="zh-CN"/>
        </w:rPr>
      </w:pPr>
      <w:r>
        <w:rPr>
          <w:rFonts w:eastAsiaTheme="minorEastAsia"/>
          <w:lang w:val="en-US" w:eastAsia="zh-CN"/>
        </w:rPr>
        <w:t>We therefore see some benefits to a top-down approach, but also some drawbacks</w:t>
      </w:r>
      <w:r w:rsidR="005B3BF2">
        <w:rPr>
          <w:rFonts w:eastAsiaTheme="minorEastAsia"/>
          <w:lang w:val="en-US" w:eastAsia="zh-CN"/>
        </w:rPr>
        <w:t>, and its application to SA needs investigation. Indeed, the eventual process might be a combination of top-down and bottom up approaches.</w:t>
      </w:r>
    </w:p>
    <w:p w14:paraId="4A20F397" w14:textId="501DAE52" w:rsidR="00BE0346" w:rsidRDefault="00BE0346" w:rsidP="002E2835">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9</w:t>
      </w:r>
      <w:r w:rsidRPr="005C0F3F">
        <w:rPr>
          <w:rFonts w:eastAsiaTheme="minorEastAsia"/>
          <w:b/>
          <w:lang w:val="en-US" w:eastAsia="zh-CN"/>
        </w:rPr>
        <w:t>:</w:t>
      </w:r>
      <w:r>
        <w:rPr>
          <w:rFonts w:eastAsiaTheme="minorEastAsia"/>
          <w:b/>
          <w:lang w:val="en-US" w:eastAsia="zh-CN"/>
        </w:rPr>
        <w:t xml:space="preserve"> There seem to be some benefits to a top-down approach, but also drawbacks. The best process might be a combination of both</w:t>
      </w:r>
      <w:r w:rsidR="003E34A1">
        <w:rPr>
          <w:rFonts w:eastAsiaTheme="minorEastAsia"/>
          <w:b/>
          <w:lang w:val="en-US" w:eastAsia="zh-CN"/>
        </w:rPr>
        <w:t>. W</w:t>
      </w:r>
      <w:r w:rsidR="003E34A1">
        <w:rPr>
          <w:rFonts w:eastAsiaTheme="minorEastAsia"/>
          <w:b/>
          <w:lang w:val="en-US" w:eastAsia="zh-CN"/>
        </w:rPr>
        <w:t xml:space="preserve">e have some ideas on </w:t>
      </w:r>
      <w:r w:rsidR="003E34A1">
        <w:rPr>
          <w:rFonts w:eastAsiaTheme="minorEastAsia"/>
          <w:b/>
          <w:lang w:val="en-US" w:eastAsia="zh-CN"/>
        </w:rPr>
        <w:t>the way forward</w:t>
      </w:r>
      <w:r w:rsidR="003E34A1">
        <w:rPr>
          <w:rFonts w:eastAsiaTheme="minorEastAsia"/>
          <w:b/>
          <w:lang w:val="en-US" w:eastAsia="zh-CN"/>
        </w:rPr>
        <w:t xml:space="preserve"> and would like to work with other companies on this to provide joint recommendations to a future SA</w:t>
      </w:r>
      <w:r w:rsidR="00711A4D">
        <w:rPr>
          <w:rFonts w:eastAsiaTheme="minorEastAsia"/>
          <w:b/>
          <w:lang w:val="en-US" w:eastAsia="zh-CN"/>
        </w:rPr>
        <w:t xml:space="preserve"> meeting</w:t>
      </w:r>
      <w:r>
        <w:rPr>
          <w:rFonts w:eastAsiaTheme="minorEastAsia"/>
          <w:b/>
          <w:lang w:val="en-US" w:eastAsia="zh-CN"/>
        </w:rPr>
        <w:t>.</w:t>
      </w:r>
    </w:p>
    <w:p w14:paraId="364A641F" w14:textId="6E36EACB" w:rsidR="00BF1EF1" w:rsidRDefault="00BF1EF1" w:rsidP="00BF1EF1">
      <w:pPr>
        <w:pStyle w:val="Heading2"/>
        <w:rPr>
          <w:lang w:val="en-US" w:eastAsia="zh-CN"/>
        </w:rPr>
      </w:pPr>
      <w:r>
        <w:rPr>
          <w:lang w:val="en-US" w:eastAsia="zh-CN"/>
        </w:rPr>
        <w:t>Timing of a decision</w:t>
      </w:r>
    </w:p>
    <w:p w14:paraId="1B67FDA6" w14:textId="31E7E5CE" w:rsidR="00BF1EF1" w:rsidRDefault="00BF1EF1" w:rsidP="00BF1EF1">
      <w:pPr>
        <w:rPr>
          <w:lang w:val="en-US" w:eastAsia="zh-CN"/>
        </w:rPr>
      </w:pPr>
      <w:r>
        <w:rPr>
          <w:lang w:val="en-US" w:eastAsia="zh-CN"/>
        </w:rPr>
        <w:t>Based on the current timeline, the content for Rel-19 seems likely to be decided in September 2023. Working back from that, and based on the experience of SA2 in recent releases, we might expect draft SIDs and WIDs to be submitted from January or February 2023. We believe it makes sense for SA Plenary to have decided how the content planning for Rel-19 should work before proposals start coming in, so a decision by December 2022 seems desirable.</w:t>
      </w:r>
    </w:p>
    <w:p w14:paraId="15587428" w14:textId="0EBB66D9" w:rsidR="00BE0346" w:rsidRPr="00BE0346" w:rsidRDefault="00BE0346" w:rsidP="00BF1EF1">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10</w:t>
      </w:r>
      <w:r w:rsidRPr="005C0F3F">
        <w:rPr>
          <w:rFonts w:eastAsiaTheme="minorEastAsia"/>
          <w:b/>
          <w:lang w:val="en-US" w:eastAsia="zh-CN"/>
        </w:rPr>
        <w:t>:</w:t>
      </w:r>
      <w:r>
        <w:rPr>
          <w:rFonts w:eastAsiaTheme="minorEastAsia"/>
          <w:b/>
          <w:lang w:val="en-US" w:eastAsia="zh-CN"/>
        </w:rPr>
        <w:t xml:space="preserve"> The process for Rel-19 content discussion/agreement should be in place before the end of 2023 (based on current release timelines).</w:t>
      </w:r>
    </w:p>
    <w:p w14:paraId="23B9A816" w14:textId="77777777" w:rsidR="005C0F3F" w:rsidRDefault="00BF1EF1" w:rsidP="00BF1EF1">
      <w:pPr>
        <w:rPr>
          <w:lang w:val="en-US" w:eastAsia="zh-CN"/>
        </w:rPr>
      </w:pPr>
      <w:r>
        <w:rPr>
          <w:lang w:val="en-US" w:eastAsia="zh-CN"/>
        </w:rPr>
        <w:t>Of course if the dates for Rel-18 change, this target date would change too.</w:t>
      </w:r>
    </w:p>
    <w:p w14:paraId="07D3F2C6" w14:textId="77777777" w:rsidR="005C0F3F" w:rsidRDefault="005C0F3F" w:rsidP="005C0F3F">
      <w:pPr>
        <w:pStyle w:val="Heading1"/>
        <w:rPr>
          <w:lang w:val="en-US" w:eastAsia="zh-CN"/>
        </w:rPr>
      </w:pPr>
      <w:r>
        <w:rPr>
          <w:lang w:val="en-US" w:eastAsia="zh-CN"/>
        </w:rPr>
        <w:t>Conclusions</w:t>
      </w:r>
    </w:p>
    <w:p w14:paraId="320D1EED" w14:textId="241DF913" w:rsidR="00BF1EF1" w:rsidRDefault="00BE0346" w:rsidP="00BE0346">
      <w:pPr>
        <w:rPr>
          <w:rFonts w:eastAsiaTheme="minorEastAsia"/>
          <w:b/>
          <w:lang w:val="en-US" w:eastAsia="zh-CN"/>
        </w:rPr>
      </w:pPr>
      <w:r w:rsidRPr="005C0F3F">
        <w:rPr>
          <w:rFonts w:eastAsiaTheme="minorEastAsia"/>
          <w:b/>
          <w:lang w:val="en-US" w:eastAsia="zh-CN"/>
        </w:rPr>
        <w:t>Conclusion 1: We expect prioritization will be needed for SA2 for Rel-19.</w:t>
      </w:r>
    </w:p>
    <w:p w14:paraId="2CE923D9" w14:textId="5BE127C4" w:rsidR="00BE0346" w:rsidRDefault="00BE0346" w:rsidP="00BE0346">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2</w:t>
      </w:r>
      <w:r w:rsidRPr="005C0F3F">
        <w:rPr>
          <w:rFonts w:eastAsiaTheme="minorEastAsia"/>
          <w:b/>
          <w:lang w:val="en-US" w:eastAsia="zh-CN"/>
        </w:rPr>
        <w:t xml:space="preserve">: We expect prioritization will be needed for </w:t>
      </w:r>
      <w:r>
        <w:rPr>
          <w:rFonts w:eastAsiaTheme="minorEastAsia"/>
          <w:b/>
          <w:lang w:val="en-US" w:eastAsia="zh-CN"/>
        </w:rPr>
        <w:t>other SA WGs</w:t>
      </w:r>
      <w:r w:rsidRPr="005C0F3F">
        <w:rPr>
          <w:rFonts w:eastAsiaTheme="minorEastAsia"/>
          <w:b/>
          <w:lang w:val="en-US" w:eastAsia="zh-CN"/>
        </w:rPr>
        <w:t xml:space="preserve"> for Rel-19.</w:t>
      </w:r>
    </w:p>
    <w:p w14:paraId="0C6141C6" w14:textId="1242C06C" w:rsidR="00BE0346" w:rsidRDefault="00BE0346" w:rsidP="00BE0346">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3</w:t>
      </w:r>
      <w:r w:rsidRPr="005C0F3F">
        <w:rPr>
          <w:rFonts w:eastAsiaTheme="minorEastAsia"/>
          <w:b/>
          <w:lang w:val="en-US" w:eastAsia="zh-CN"/>
        </w:rPr>
        <w:t xml:space="preserve">: </w:t>
      </w:r>
      <w:r>
        <w:rPr>
          <w:rFonts w:eastAsiaTheme="minorEastAsia"/>
          <w:b/>
          <w:lang w:val="en-US" w:eastAsia="zh-CN"/>
        </w:rPr>
        <w:t>This is likely to present a coordination challenge to SA and the WGs</w:t>
      </w:r>
      <w:r w:rsidR="00E370E6">
        <w:rPr>
          <w:rFonts w:eastAsiaTheme="minorEastAsia"/>
          <w:b/>
          <w:lang w:val="en-US" w:eastAsia="zh-CN"/>
        </w:rPr>
        <w:t xml:space="preserve"> for future releases</w:t>
      </w:r>
      <w:r>
        <w:rPr>
          <w:rFonts w:eastAsiaTheme="minorEastAsia"/>
          <w:b/>
          <w:lang w:val="en-US" w:eastAsia="zh-CN"/>
        </w:rPr>
        <w:t>.</w:t>
      </w:r>
    </w:p>
    <w:p w14:paraId="0D5FDD73" w14:textId="31BF4751" w:rsidR="00BE0346" w:rsidRDefault="00BE0346" w:rsidP="00BE0346">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4</w:t>
      </w:r>
      <w:r w:rsidRPr="005C0F3F">
        <w:rPr>
          <w:rFonts w:eastAsiaTheme="minorEastAsia"/>
          <w:b/>
          <w:lang w:val="en-US" w:eastAsia="zh-CN"/>
        </w:rPr>
        <w:t>:</w:t>
      </w:r>
      <w:r>
        <w:rPr>
          <w:rFonts w:eastAsiaTheme="minorEastAsia"/>
          <w:b/>
          <w:lang w:val="en-US" w:eastAsia="zh-CN"/>
        </w:rPr>
        <w:t xml:space="preserve"> Using the existing bottom-up approach has resulted in wasted time in SA2.</w:t>
      </w:r>
    </w:p>
    <w:p w14:paraId="121FAD4B" w14:textId="21FC7BEF" w:rsidR="00BE0346" w:rsidRDefault="00BE0346" w:rsidP="00BE0346">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5</w:t>
      </w:r>
      <w:r w:rsidRPr="005C0F3F">
        <w:rPr>
          <w:rFonts w:eastAsiaTheme="minorEastAsia"/>
          <w:b/>
          <w:lang w:val="en-US" w:eastAsia="zh-CN"/>
        </w:rPr>
        <w:t>:</w:t>
      </w:r>
      <w:r>
        <w:rPr>
          <w:rFonts w:eastAsiaTheme="minorEastAsia"/>
          <w:b/>
          <w:lang w:val="en-US" w:eastAsia="zh-CN"/>
        </w:rPr>
        <w:t xml:space="preserve"> The existing bottom-up approach impacts the completion of the previous release, and delays the start of technical work for the new release.</w:t>
      </w:r>
    </w:p>
    <w:p w14:paraId="69CA9F6E" w14:textId="2FD1E219" w:rsidR="00BE0346" w:rsidRDefault="003E34A1" w:rsidP="00BE0346">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6</w:t>
      </w:r>
      <w:r w:rsidRPr="005C0F3F">
        <w:rPr>
          <w:rFonts w:eastAsiaTheme="minorEastAsia"/>
          <w:b/>
          <w:lang w:val="en-US" w:eastAsia="zh-CN"/>
        </w:rPr>
        <w:t>:</w:t>
      </w:r>
      <w:r>
        <w:rPr>
          <w:rFonts w:eastAsiaTheme="minorEastAsia"/>
          <w:b/>
          <w:lang w:val="en-US" w:eastAsia="zh-CN"/>
        </w:rPr>
        <w:t xml:space="preserve"> There are issues with the existing approach, but we have some ideas on how to resolve them and would like to work with other companies on this to provide joint recommendations to a future SA meeting</w:t>
      </w:r>
      <w:r w:rsidR="00BE0346">
        <w:rPr>
          <w:rFonts w:eastAsiaTheme="minorEastAsia"/>
          <w:b/>
          <w:lang w:val="en-US" w:eastAsia="zh-CN"/>
        </w:rPr>
        <w:t>.</w:t>
      </w:r>
    </w:p>
    <w:p w14:paraId="1A8EC3C1" w14:textId="4DEBBCD9" w:rsidR="00BE0346" w:rsidRDefault="00BE0346" w:rsidP="00BE0346">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7</w:t>
      </w:r>
      <w:r w:rsidRPr="005C0F3F">
        <w:rPr>
          <w:rFonts w:eastAsiaTheme="minorEastAsia"/>
          <w:b/>
          <w:lang w:val="en-US" w:eastAsia="zh-CN"/>
        </w:rPr>
        <w:t>:</w:t>
      </w:r>
      <w:r>
        <w:rPr>
          <w:rFonts w:eastAsiaTheme="minorEastAsia"/>
          <w:b/>
          <w:lang w:val="en-US" w:eastAsia="zh-CN"/>
        </w:rPr>
        <w:t xml:space="preserve"> A top-down approach could reduce wasted effort and could make cross-WG co-ordination easier.</w:t>
      </w:r>
    </w:p>
    <w:p w14:paraId="52671F35" w14:textId="77777777" w:rsidR="00BE0346" w:rsidRDefault="00BE0346" w:rsidP="00BE0346">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8</w:t>
      </w:r>
      <w:r w:rsidRPr="005C0F3F">
        <w:rPr>
          <w:rFonts w:eastAsiaTheme="minorEastAsia"/>
          <w:b/>
          <w:lang w:val="en-US" w:eastAsia="zh-CN"/>
        </w:rPr>
        <w:t>:</w:t>
      </w:r>
      <w:r>
        <w:rPr>
          <w:rFonts w:eastAsiaTheme="minorEastAsia"/>
          <w:b/>
          <w:lang w:val="en-US" w:eastAsia="zh-CN"/>
        </w:rPr>
        <w:t xml:space="preserve"> A top-down approach has possible drawbacks, and would need to fit the way that SA WGs are organized.</w:t>
      </w:r>
    </w:p>
    <w:p w14:paraId="1DB572E2" w14:textId="77777777" w:rsidR="00711A4D" w:rsidRDefault="003E34A1" w:rsidP="00BE0346">
      <w:pPr>
        <w:rPr>
          <w:rFonts w:eastAsiaTheme="minorEastAsia"/>
          <w:b/>
          <w:lang w:val="en-US" w:eastAsia="zh-CN"/>
        </w:rPr>
      </w:pPr>
      <w:r w:rsidRPr="005C0F3F">
        <w:rPr>
          <w:rFonts w:eastAsiaTheme="minorEastAsia"/>
          <w:b/>
          <w:lang w:val="en-US" w:eastAsia="zh-CN"/>
        </w:rPr>
        <w:t>C</w:t>
      </w:r>
      <w:r>
        <w:rPr>
          <w:rFonts w:eastAsiaTheme="minorEastAsia"/>
          <w:b/>
          <w:lang w:val="en-US" w:eastAsia="zh-CN"/>
        </w:rPr>
        <w:t>onclusion 9</w:t>
      </w:r>
      <w:r w:rsidRPr="005C0F3F">
        <w:rPr>
          <w:rFonts w:eastAsiaTheme="minorEastAsia"/>
          <w:b/>
          <w:lang w:val="en-US" w:eastAsia="zh-CN"/>
        </w:rPr>
        <w:t>:</w:t>
      </w:r>
      <w:r>
        <w:rPr>
          <w:rFonts w:eastAsiaTheme="minorEastAsia"/>
          <w:b/>
          <w:lang w:val="en-US" w:eastAsia="zh-CN"/>
        </w:rPr>
        <w:t xml:space="preserve"> There seem to be some benefits to a top-down approach, but also drawbacks. The best process might be a combination of both. We have some ideas on the way forward and would like to work with other companies on this to provide joint recommendations to a future SA meeting</w:t>
      </w:r>
      <w:r>
        <w:rPr>
          <w:rFonts w:eastAsiaTheme="minorEastAsia"/>
          <w:b/>
          <w:lang w:val="en-US" w:eastAsia="zh-CN"/>
        </w:rPr>
        <w:t>. (See also Conclusion 6).</w:t>
      </w:r>
    </w:p>
    <w:p w14:paraId="67B8C1AC" w14:textId="5504FB94" w:rsidR="00BE0346" w:rsidRPr="00BE0346" w:rsidRDefault="00BE0346" w:rsidP="00BE0346">
      <w:pPr>
        <w:rPr>
          <w:rFonts w:eastAsiaTheme="minorEastAsia"/>
          <w:lang w:val="en-US" w:eastAsia="zh-CN"/>
        </w:rPr>
      </w:pPr>
      <w:r w:rsidRPr="005C0F3F">
        <w:rPr>
          <w:rFonts w:eastAsiaTheme="minorEastAsia"/>
          <w:b/>
          <w:lang w:val="en-US" w:eastAsia="zh-CN"/>
        </w:rPr>
        <w:t>C</w:t>
      </w:r>
      <w:r>
        <w:rPr>
          <w:rFonts w:eastAsiaTheme="minorEastAsia"/>
          <w:b/>
          <w:lang w:val="en-US" w:eastAsia="zh-CN"/>
        </w:rPr>
        <w:t>onclusion 10</w:t>
      </w:r>
      <w:r w:rsidRPr="005C0F3F">
        <w:rPr>
          <w:rFonts w:eastAsiaTheme="minorEastAsia"/>
          <w:b/>
          <w:lang w:val="en-US" w:eastAsia="zh-CN"/>
        </w:rPr>
        <w:t>:</w:t>
      </w:r>
      <w:r>
        <w:rPr>
          <w:rFonts w:eastAsiaTheme="minorEastAsia"/>
          <w:b/>
          <w:lang w:val="en-US" w:eastAsia="zh-CN"/>
        </w:rPr>
        <w:t xml:space="preserve"> The process for Rel-19 content discussion/agreement should be in place before the end of 2023 (based on current release timelines).</w:t>
      </w:r>
    </w:p>
    <w:sectPr w:rsidR="00BE0346" w:rsidRPr="00BE034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9BD7B" w14:textId="77777777" w:rsidR="00197B02" w:rsidRDefault="00197B02">
      <w:r>
        <w:separator/>
      </w:r>
    </w:p>
    <w:p w14:paraId="3836EB9B" w14:textId="77777777" w:rsidR="00197B02" w:rsidRDefault="00197B02"/>
  </w:endnote>
  <w:endnote w:type="continuationSeparator" w:id="0">
    <w:p w14:paraId="5492982F" w14:textId="77777777" w:rsidR="00197B02" w:rsidRDefault="00197B02">
      <w:r>
        <w:continuationSeparator/>
      </w:r>
    </w:p>
    <w:p w14:paraId="16E52B4D" w14:textId="77777777" w:rsidR="00197B02" w:rsidRDefault="00197B02"/>
  </w:endnote>
  <w:endnote w:type="continuationNotice" w:id="1">
    <w:p w14:paraId="4F766D9B" w14:textId="77777777" w:rsidR="00197B02" w:rsidRDefault="00197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4D26D" w14:textId="77777777" w:rsidR="00197B02" w:rsidRDefault="00197B02">
      <w:r>
        <w:separator/>
      </w:r>
    </w:p>
    <w:p w14:paraId="5F296DBF" w14:textId="77777777" w:rsidR="00197B02" w:rsidRDefault="00197B02"/>
  </w:footnote>
  <w:footnote w:type="continuationSeparator" w:id="0">
    <w:p w14:paraId="43B40EDE" w14:textId="77777777" w:rsidR="00197B02" w:rsidRDefault="00197B02">
      <w:r>
        <w:continuationSeparator/>
      </w:r>
    </w:p>
    <w:p w14:paraId="6DAB3B27" w14:textId="77777777" w:rsidR="00197B02" w:rsidRDefault="00197B02"/>
  </w:footnote>
  <w:footnote w:type="continuationNotice" w:id="1">
    <w:p w14:paraId="47BEDC5D" w14:textId="77777777" w:rsidR="00197B02" w:rsidRDefault="00197B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36DCD036"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7B02">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10A3F"/>
    <w:multiLevelType w:val="hybridMultilevel"/>
    <w:tmpl w:val="691CC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
  </w:num>
  <w:num w:numId="4">
    <w:abstractNumId w:val="5"/>
  </w:num>
  <w:num w:numId="5">
    <w:abstractNumId w:val="14"/>
  </w:num>
  <w:num w:numId="6">
    <w:abstractNumId w:val="24"/>
  </w:num>
  <w:num w:numId="7">
    <w:abstractNumId w:val="7"/>
  </w:num>
  <w:num w:numId="8">
    <w:abstractNumId w:val="13"/>
  </w:num>
  <w:num w:numId="9">
    <w:abstractNumId w:val="21"/>
  </w:num>
  <w:num w:numId="10">
    <w:abstractNumId w:val="25"/>
  </w:num>
  <w:num w:numId="11">
    <w:abstractNumId w:val="8"/>
  </w:num>
  <w:num w:numId="12">
    <w:abstractNumId w:val="0"/>
  </w:num>
  <w:num w:numId="13">
    <w:abstractNumId w:val="3"/>
  </w:num>
  <w:num w:numId="14">
    <w:abstractNumId w:val="9"/>
  </w:num>
  <w:num w:numId="15">
    <w:abstractNumId w:val="15"/>
  </w:num>
  <w:num w:numId="16">
    <w:abstractNumId w:val="4"/>
  </w:num>
  <w:num w:numId="17">
    <w:abstractNumId w:val="19"/>
  </w:num>
  <w:num w:numId="18">
    <w:abstractNumId w:val="12"/>
  </w:num>
  <w:num w:numId="19">
    <w:abstractNumId w:val="16"/>
  </w:num>
  <w:num w:numId="20">
    <w:abstractNumId w:val="18"/>
  </w:num>
  <w:num w:numId="21">
    <w:abstractNumId w:val="23"/>
  </w:num>
  <w:num w:numId="22">
    <w:abstractNumId w:val="11"/>
  </w:num>
  <w:num w:numId="23">
    <w:abstractNumId w:val="2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576B5"/>
    <w:rsid w:val="0006009C"/>
    <w:rsid w:val="000607A8"/>
    <w:rsid w:val="00060F24"/>
    <w:rsid w:val="00062F11"/>
    <w:rsid w:val="000631E9"/>
    <w:rsid w:val="00063321"/>
    <w:rsid w:val="00063EF2"/>
    <w:rsid w:val="00064ABB"/>
    <w:rsid w:val="0006502B"/>
    <w:rsid w:val="00065A7F"/>
    <w:rsid w:val="000708BD"/>
    <w:rsid w:val="00071CC8"/>
    <w:rsid w:val="00071FAE"/>
    <w:rsid w:val="00073048"/>
    <w:rsid w:val="0007338E"/>
    <w:rsid w:val="00073BD4"/>
    <w:rsid w:val="00074480"/>
    <w:rsid w:val="0007536B"/>
    <w:rsid w:val="00075D9C"/>
    <w:rsid w:val="00076525"/>
    <w:rsid w:val="000830D4"/>
    <w:rsid w:val="00084E41"/>
    <w:rsid w:val="000852B4"/>
    <w:rsid w:val="0008565B"/>
    <w:rsid w:val="00085B2B"/>
    <w:rsid w:val="00085FC7"/>
    <w:rsid w:val="00086929"/>
    <w:rsid w:val="00090D4D"/>
    <w:rsid w:val="00091BA0"/>
    <w:rsid w:val="00093796"/>
    <w:rsid w:val="000946ED"/>
    <w:rsid w:val="0009483A"/>
    <w:rsid w:val="00094F77"/>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19B8"/>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D98"/>
    <w:rsid w:val="001963FC"/>
    <w:rsid w:val="0019666E"/>
    <w:rsid w:val="00196B2A"/>
    <w:rsid w:val="0019723A"/>
    <w:rsid w:val="00197B02"/>
    <w:rsid w:val="001A022E"/>
    <w:rsid w:val="001A0FD2"/>
    <w:rsid w:val="001A3A7D"/>
    <w:rsid w:val="001A3FB4"/>
    <w:rsid w:val="001A56A8"/>
    <w:rsid w:val="001A5C81"/>
    <w:rsid w:val="001A646A"/>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C7D0A"/>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2ED5"/>
    <w:rsid w:val="00233A50"/>
    <w:rsid w:val="00235221"/>
    <w:rsid w:val="002369C4"/>
    <w:rsid w:val="00237C07"/>
    <w:rsid w:val="002406EC"/>
    <w:rsid w:val="00241A90"/>
    <w:rsid w:val="00241D00"/>
    <w:rsid w:val="00241E53"/>
    <w:rsid w:val="00242A2F"/>
    <w:rsid w:val="002431C9"/>
    <w:rsid w:val="0024488D"/>
    <w:rsid w:val="0024593C"/>
    <w:rsid w:val="00246339"/>
    <w:rsid w:val="002464B3"/>
    <w:rsid w:val="00246A76"/>
    <w:rsid w:val="00246DE7"/>
    <w:rsid w:val="0024781C"/>
    <w:rsid w:val="00247CAC"/>
    <w:rsid w:val="00247D8B"/>
    <w:rsid w:val="00247FFA"/>
    <w:rsid w:val="00250064"/>
    <w:rsid w:val="00251CD6"/>
    <w:rsid w:val="00252101"/>
    <w:rsid w:val="0025240D"/>
    <w:rsid w:val="00252D7A"/>
    <w:rsid w:val="0025520E"/>
    <w:rsid w:val="00256C70"/>
    <w:rsid w:val="00256FBD"/>
    <w:rsid w:val="00257C37"/>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203E"/>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1C05"/>
    <w:rsid w:val="002D2752"/>
    <w:rsid w:val="002D4952"/>
    <w:rsid w:val="002D65B5"/>
    <w:rsid w:val="002D7DAF"/>
    <w:rsid w:val="002E0162"/>
    <w:rsid w:val="002E199D"/>
    <w:rsid w:val="002E1B45"/>
    <w:rsid w:val="002E2018"/>
    <w:rsid w:val="002E2835"/>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1030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2514"/>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2B24"/>
    <w:rsid w:val="003A376F"/>
    <w:rsid w:val="003A3BC8"/>
    <w:rsid w:val="003A5197"/>
    <w:rsid w:val="003A69B6"/>
    <w:rsid w:val="003A6AB2"/>
    <w:rsid w:val="003B00A0"/>
    <w:rsid w:val="003B020E"/>
    <w:rsid w:val="003B2E77"/>
    <w:rsid w:val="003B2F4F"/>
    <w:rsid w:val="003B3C85"/>
    <w:rsid w:val="003B520F"/>
    <w:rsid w:val="003B59D6"/>
    <w:rsid w:val="003B7948"/>
    <w:rsid w:val="003C02B3"/>
    <w:rsid w:val="003C599D"/>
    <w:rsid w:val="003C7614"/>
    <w:rsid w:val="003C782C"/>
    <w:rsid w:val="003C7DE5"/>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4A1"/>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F1"/>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8B2"/>
    <w:rsid w:val="004503FD"/>
    <w:rsid w:val="00450E86"/>
    <w:rsid w:val="0045374B"/>
    <w:rsid w:val="00453A49"/>
    <w:rsid w:val="00453D72"/>
    <w:rsid w:val="0045410E"/>
    <w:rsid w:val="00455110"/>
    <w:rsid w:val="004565EE"/>
    <w:rsid w:val="00457CE2"/>
    <w:rsid w:val="004603EE"/>
    <w:rsid w:val="00460468"/>
    <w:rsid w:val="0046254E"/>
    <w:rsid w:val="0046289C"/>
    <w:rsid w:val="00465AD0"/>
    <w:rsid w:val="00465D88"/>
    <w:rsid w:val="00466150"/>
    <w:rsid w:val="0047001A"/>
    <w:rsid w:val="00470732"/>
    <w:rsid w:val="00470CA4"/>
    <w:rsid w:val="00472142"/>
    <w:rsid w:val="004745FD"/>
    <w:rsid w:val="00475004"/>
    <w:rsid w:val="004774B4"/>
    <w:rsid w:val="00481CD8"/>
    <w:rsid w:val="004821D9"/>
    <w:rsid w:val="0048268B"/>
    <w:rsid w:val="00482DD7"/>
    <w:rsid w:val="00482F42"/>
    <w:rsid w:val="004831EE"/>
    <w:rsid w:val="00483322"/>
    <w:rsid w:val="00483E3C"/>
    <w:rsid w:val="00485470"/>
    <w:rsid w:val="004862C2"/>
    <w:rsid w:val="0048675E"/>
    <w:rsid w:val="00491877"/>
    <w:rsid w:val="00494686"/>
    <w:rsid w:val="004946EE"/>
    <w:rsid w:val="0049476B"/>
    <w:rsid w:val="00496DAE"/>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18AC"/>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20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BF2"/>
    <w:rsid w:val="005B3FB9"/>
    <w:rsid w:val="005B49B5"/>
    <w:rsid w:val="005B605D"/>
    <w:rsid w:val="005B6969"/>
    <w:rsid w:val="005C04A8"/>
    <w:rsid w:val="005C0AC3"/>
    <w:rsid w:val="005C0F3F"/>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0D7A"/>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275F"/>
    <w:rsid w:val="006238AD"/>
    <w:rsid w:val="00623FAF"/>
    <w:rsid w:val="00624FCE"/>
    <w:rsid w:val="00626528"/>
    <w:rsid w:val="006278F1"/>
    <w:rsid w:val="006301D4"/>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7720"/>
    <w:rsid w:val="006906F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7C81"/>
    <w:rsid w:val="006C02F9"/>
    <w:rsid w:val="006C042F"/>
    <w:rsid w:val="006C0885"/>
    <w:rsid w:val="006C0A54"/>
    <w:rsid w:val="006C1208"/>
    <w:rsid w:val="006C1857"/>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847"/>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A4D"/>
    <w:rsid w:val="00711F58"/>
    <w:rsid w:val="00712A2B"/>
    <w:rsid w:val="00713FD9"/>
    <w:rsid w:val="0071429A"/>
    <w:rsid w:val="00714EF6"/>
    <w:rsid w:val="007150DA"/>
    <w:rsid w:val="007150F0"/>
    <w:rsid w:val="0071544D"/>
    <w:rsid w:val="007156CC"/>
    <w:rsid w:val="00716A2C"/>
    <w:rsid w:val="00717D60"/>
    <w:rsid w:val="007201AD"/>
    <w:rsid w:val="00720366"/>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47F"/>
    <w:rsid w:val="007375A8"/>
    <w:rsid w:val="00737642"/>
    <w:rsid w:val="007403DF"/>
    <w:rsid w:val="00740DC9"/>
    <w:rsid w:val="007426A5"/>
    <w:rsid w:val="007430B3"/>
    <w:rsid w:val="007445FE"/>
    <w:rsid w:val="00744FCE"/>
    <w:rsid w:val="00745252"/>
    <w:rsid w:val="007476B3"/>
    <w:rsid w:val="00747D80"/>
    <w:rsid w:val="007503E0"/>
    <w:rsid w:val="007518AE"/>
    <w:rsid w:val="00754006"/>
    <w:rsid w:val="00754C4F"/>
    <w:rsid w:val="00756755"/>
    <w:rsid w:val="0076013E"/>
    <w:rsid w:val="0076063E"/>
    <w:rsid w:val="00762063"/>
    <w:rsid w:val="00762143"/>
    <w:rsid w:val="00762A9C"/>
    <w:rsid w:val="00763692"/>
    <w:rsid w:val="00763E75"/>
    <w:rsid w:val="0076419C"/>
    <w:rsid w:val="007664D2"/>
    <w:rsid w:val="0076702C"/>
    <w:rsid w:val="0076782A"/>
    <w:rsid w:val="00767C2D"/>
    <w:rsid w:val="0077042B"/>
    <w:rsid w:val="007712FD"/>
    <w:rsid w:val="00772D92"/>
    <w:rsid w:val="007739AE"/>
    <w:rsid w:val="00773BC3"/>
    <w:rsid w:val="00773C34"/>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6C75"/>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0C5"/>
    <w:rsid w:val="00876CD9"/>
    <w:rsid w:val="00880AA1"/>
    <w:rsid w:val="00880B08"/>
    <w:rsid w:val="0088108C"/>
    <w:rsid w:val="0088211C"/>
    <w:rsid w:val="0088283A"/>
    <w:rsid w:val="00882B11"/>
    <w:rsid w:val="00883EB3"/>
    <w:rsid w:val="00884656"/>
    <w:rsid w:val="0088596E"/>
    <w:rsid w:val="0088668F"/>
    <w:rsid w:val="00886A2F"/>
    <w:rsid w:val="008872E1"/>
    <w:rsid w:val="008879DA"/>
    <w:rsid w:val="008907FD"/>
    <w:rsid w:val="00890962"/>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41F"/>
    <w:rsid w:val="008D170E"/>
    <w:rsid w:val="008D1B17"/>
    <w:rsid w:val="008D1DB6"/>
    <w:rsid w:val="008D2D20"/>
    <w:rsid w:val="008D5668"/>
    <w:rsid w:val="008D5B22"/>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8B1"/>
    <w:rsid w:val="008F7903"/>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1358"/>
    <w:rsid w:val="00911C82"/>
    <w:rsid w:val="00911EB1"/>
    <w:rsid w:val="009151B8"/>
    <w:rsid w:val="009173A0"/>
    <w:rsid w:val="0092375A"/>
    <w:rsid w:val="00923A7D"/>
    <w:rsid w:val="009243E6"/>
    <w:rsid w:val="00926600"/>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4FA"/>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200"/>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449"/>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25B"/>
    <w:rsid w:val="00A17EAF"/>
    <w:rsid w:val="00A20CB1"/>
    <w:rsid w:val="00A210AA"/>
    <w:rsid w:val="00A21470"/>
    <w:rsid w:val="00A228E4"/>
    <w:rsid w:val="00A23625"/>
    <w:rsid w:val="00A23868"/>
    <w:rsid w:val="00A23B9E"/>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015"/>
    <w:rsid w:val="00A5345E"/>
    <w:rsid w:val="00A54949"/>
    <w:rsid w:val="00A55BB0"/>
    <w:rsid w:val="00A55E0A"/>
    <w:rsid w:val="00A56198"/>
    <w:rsid w:val="00A5645D"/>
    <w:rsid w:val="00A56BCD"/>
    <w:rsid w:val="00A60363"/>
    <w:rsid w:val="00A61063"/>
    <w:rsid w:val="00A6166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9FA"/>
    <w:rsid w:val="00AB3A65"/>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2732"/>
    <w:rsid w:val="00AE51ED"/>
    <w:rsid w:val="00AE58A6"/>
    <w:rsid w:val="00AE6C6F"/>
    <w:rsid w:val="00AE7A72"/>
    <w:rsid w:val="00AF0293"/>
    <w:rsid w:val="00AF0655"/>
    <w:rsid w:val="00AF19EA"/>
    <w:rsid w:val="00AF246D"/>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BAA"/>
    <w:rsid w:val="00B65205"/>
    <w:rsid w:val="00B66BA1"/>
    <w:rsid w:val="00B702BB"/>
    <w:rsid w:val="00B71E39"/>
    <w:rsid w:val="00B72CC6"/>
    <w:rsid w:val="00B741F2"/>
    <w:rsid w:val="00B75989"/>
    <w:rsid w:val="00B75D5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0957"/>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E00F2"/>
    <w:rsid w:val="00BE0346"/>
    <w:rsid w:val="00BE1A5A"/>
    <w:rsid w:val="00BE231E"/>
    <w:rsid w:val="00BE256F"/>
    <w:rsid w:val="00BE2828"/>
    <w:rsid w:val="00BE2B0A"/>
    <w:rsid w:val="00BE3468"/>
    <w:rsid w:val="00BE3F6B"/>
    <w:rsid w:val="00BE42F2"/>
    <w:rsid w:val="00BE46C3"/>
    <w:rsid w:val="00BE7103"/>
    <w:rsid w:val="00BE7EBA"/>
    <w:rsid w:val="00BE7F17"/>
    <w:rsid w:val="00BE7FD8"/>
    <w:rsid w:val="00BF0D2F"/>
    <w:rsid w:val="00BF126A"/>
    <w:rsid w:val="00BF1E2A"/>
    <w:rsid w:val="00BF1EF1"/>
    <w:rsid w:val="00BF2243"/>
    <w:rsid w:val="00BF3B6F"/>
    <w:rsid w:val="00BF3DFC"/>
    <w:rsid w:val="00BF3F55"/>
    <w:rsid w:val="00BF51D4"/>
    <w:rsid w:val="00BF5CE8"/>
    <w:rsid w:val="00BF7149"/>
    <w:rsid w:val="00BF7AB3"/>
    <w:rsid w:val="00BF7F67"/>
    <w:rsid w:val="00C01033"/>
    <w:rsid w:val="00C0156F"/>
    <w:rsid w:val="00C01AE4"/>
    <w:rsid w:val="00C01BAC"/>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5AE"/>
    <w:rsid w:val="00C217DD"/>
    <w:rsid w:val="00C21B0B"/>
    <w:rsid w:val="00C21B36"/>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37AD9"/>
    <w:rsid w:val="00C40177"/>
    <w:rsid w:val="00C410E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BE3"/>
    <w:rsid w:val="00C80EAD"/>
    <w:rsid w:val="00C812DA"/>
    <w:rsid w:val="00C8229B"/>
    <w:rsid w:val="00C83646"/>
    <w:rsid w:val="00C83CA4"/>
    <w:rsid w:val="00C83D2F"/>
    <w:rsid w:val="00C8433D"/>
    <w:rsid w:val="00C845DE"/>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17F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BAB"/>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5AA"/>
    <w:rsid w:val="00CF7310"/>
    <w:rsid w:val="00CF788B"/>
    <w:rsid w:val="00D00CBE"/>
    <w:rsid w:val="00D0487D"/>
    <w:rsid w:val="00D048B6"/>
    <w:rsid w:val="00D07514"/>
    <w:rsid w:val="00D076FD"/>
    <w:rsid w:val="00D114E1"/>
    <w:rsid w:val="00D12C49"/>
    <w:rsid w:val="00D1331A"/>
    <w:rsid w:val="00D1334E"/>
    <w:rsid w:val="00D133A7"/>
    <w:rsid w:val="00D1382A"/>
    <w:rsid w:val="00D1496F"/>
    <w:rsid w:val="00D15E7F"/>
    <w:rsid w:val="00D1621C"/>
    <w:rsid w:val="00D21661"/>
    <w:rsid w:val="00D21F5F"/>
    <w:rsid w:val="00D21FA0"/>
    <w:rsid w:val="00D226CE"/>
    <w:rsid w:val="00D22E63"/>
    <w:rsid w:val="00D237E7"/>
    <w:rsid w:val="00D26EA7"/>
    <w:rsid w:val="00D27255"/>
    <w:rsid w:val="00D27259"/>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68AB"/>
    <w:rsid w:val="00D9022E"/>
    <w:rsid w:val="00D902CA"/>
    <w:rsid w:val="00D93450"/>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3B12"/>
    <w:rsid w:val="00DB42ED"/>
    <w:rsid w:val="00DB4D35"/>
    <w:rsid w:val="00DB5B57"/>
    <w:rsid w:val="00DB6FED"/>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F42"/>
    <w:rsid w:val="00E13BF6"/>
    <w:rsid w:val="00E14809"/>
    <w:rsid w:val="00E15C61"/>
    <w:rsid w:val="00E16F6D"/>
    <w:rsid w:val="00E17336"/>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0E6"/>
    <w:rsid w:val="00E37807"/>
    <w:rsid w:val="00E37B0A"/>
    <w:rsid w:val="00E37F93"/>
    <w:rsid w:val="00E400A9"/>
    <w:rsid w:val="00E40A57"/>
    <w:rsid w:val="00E41059"/>
    <w:rsid w:val="00E4178A"/>
    <w:rsid w:val="00E41B93"/>
    <w:rsid w:val="00E4287B"/>
    <w:rsid w:val="00E45525"/>
    <w:rsid w:val="00E46ECD"/>
    <w:rsid w:val="00E46FFA"/>
    <w:rsid w:val="00E47632"/>
    <w:rsid w:val="00E508DB"/>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CB2"/>
    <w:rsid w:val="00E879AF"/>
    <w:rsid w:val="00E91093"/>
    <w:rsid w:val="00E91498"/>
    <w:rsid w:val="00E91691"/>
    <w:rsid w:val="00E92C8C"/>
    <w:rsid w:val="00E92D35"/>
    <w:rsid w:val="00E9325A"/>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C1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6EE"/>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88F"/>
    <w:rsid w:val="00F01F2A"/>
    <w:rsid w:val="00F02431"/>
    <w:rsid w:val="00F02727"/>
    <w:rsid w:val="00F03889"/>
    <w:rsid w:val="00F0628A"/>
    <w:rsid w:val="00F0699E"/>
    <w:rsid w:val="00F07A65"/>
    <w:rsid w:val="00F1002C"/>
    <w:rsid w:val="00F117CA"/>
    <w:rsid w:val="00F12167"/>
    <w:rsid w:val="00F151BF"/>
    <w:rsid w:val="00F15688"/>
    <w:rsid w:val="00F15F5D"/>
    <w:rsid w:val="00F165E2"/>
    <w:rsid w:val="00F16B11"/>
    <w:rsid w:val="00F170D8"/>
    <w:rsid w:val="00F20241"/>
    <w:rsid w:val="00F20A8B"/>
    <w:rsid w:val="00F20C71"/>
    <w:rsid w:val="00F21320"/>
    <w:rsid w:val="00F22028"/>
    <w:rsid w:val="00F2234C"/>
    <w:rsid w:val="00F22CEE"/>
    <w:rsid w:val="00F2358C"/>
    <w:rsid w:val="00F23B28"/>
    <w:rsid w:val="00F2422D"/>
    <w:rsid w:val="00F24582"/>
    <w:rsid w:val="00F25F12"/>
    <w:rsid w:val="00F261CF"/>
    <w:rsid w:val="00F266B9"/>
    <w:rsid w:val="00F27276"/>
    <w:rsid w:val="00F27F9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699"/>
    <w:rsid w:val="00F67C3F"/>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14B"/>
    <w:rsid w:val="00F977B3"/>
    <w:rsid w:val="00F97C7B"/>
    <w:rsid w:val="00FA018C"/>
    <w:rsid w:val="00FA02D8"/>
    <w:rsid w:val="00FA08EA"/>
    <w:rsid w:val="00FA132B"/>
    <w:rsid w:val="00FA1412"/>
    <w:rsid w:val="00FA1BEF"/>
    <w:rsid w:val="00FA217D"/>
    <w:rsid w:val="00FA31FF"/>
    <w:rsid w:val="00FA43EE"/>
    <w:rsid w:val="00FA73F2"/>
    <w:rsid w:val="00FA7B9A"/>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E1F7B"/>
    <w:rsid w:val="00FE367E"/>
    <w:rsid w:val="00FE4B17"/>
    <w:rsid w:val="00FE60EB"/>
    <w:rsid w:val="00FE670B"/>
    <w:rsid w:val="00FE7296"/>
    <w:rsid w:val="00FE7DEA"/>
    <w:rsid w:val="00FF0203"/>
    <w:rsid w:val="00FF1A27"/>
    <w:rsid w:val="00FF1B8B"/>
    <w:rsid w:val="00FF2515"/>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FollowedHyperlink">
    <w:name w:val="FollowedHyperlink"/>
    <w:basedOn w:val="DefaultParagraphFont"/>
    <w:rsid w:val="00B65205"/>
    <w:rPr>
      <w:color w:val="954F72" w:themeColor="followedHyperlink"/>
      <w:u w:val="single"/>
    </w:rPr>
  </w:style>
  <w:style w:type="character" w:customStyle="1" w:styleId="UnresolvedMention">
    <w:name w:val="Unresolved Mention"/>
    <w:basedOn w:val="DefaultParagraphFont"/>
    <w:uiPriority w:val="99"/>
    <w:semiHidden/>
    <w:unhideWhenUsed/>
    <w:rsid w:val="00A23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4047713">
      <w:bodyDiv w:val="1"/>
      <w:marLeft w:val="0"/>
      <w:marRight w:val="0"/>
      <w:marTop w:val="0"/>
      <w:marBottom w:val="0"/>
      <w:divBdr>
        <w:top w:val="none" w:sz="0" w:space="0" w:color="auto"/>
        <w:left w:val="none" w:sz="0" w:space="0" w:color="auto"/>
        <w:bottom w:val="none" w:sz="0" w:space="0" w:color="auto"/>
        <w:right w:val="none" w:sz="0" w:space="0" w:color="auto"/>
      </w:divBdr>
      <w:divsChild>
        <w:div w:id="1264260365">
          <w:marLeft w:val="0"/>
          <w:marRight w:val="0"/>
          <w:marTop w:val="0"/>
          <w:marBottom w:val="0"/>
          <w:divBdr>
            <w:top w:val="none" w:sz="0" w:space="0" w:color="auto"/>
            <w:left w:val="none" w:sz="0" w:space="0" w:color="auto"/>
            <w:bottom w:val="none" w:sz="0" w:space="0" w:color="auto"/>
            <w:right w:val="none" w:sz="0" w:space="0" w:color="auto"/>
          </w:divBdr>
          <w:divsChild>
            <w:div w:id="2051151485">
              <w:marLeft w:val="0"/>
              <w:marRight w:val="0"/>
              <w:marTop w:val="0"/>
              <w:marBottom w:val="0"/>
              <w:divBdr>
                <w:top w:val="none" w:sz="0" w:space="0" w:color="auto"/>
                <w:left w:val="none" w:sz="0" w:space="0" w:color="auto"/>
                <w:bottom w:val="none" w:sz="0" w:space="0" w:color="auto"/>
                <w:right w:val="none" w:sz="0" w:space="0" w:color="auto"/>
              </w:divBdr>
            </w:div>
          </w:divsChild>
        </w:div>
        <w:div w:id="1632789454">
          <w:marLeft w:val="0"/>
          <w:marRight w:val="0"/>
          <w:marTop w:val="0"/>
          <w:marBottom w:val="0"/>
          <w:divBdr>
            <w:top w:val="none" w:sz="0" w:space="0" w:color="auto"/>
            <w:left w:val="none" w:sz="0" w:space="0" w:color="auto"/>
            <w:bottom w:val="none" w:sz="0" w:space="0" w:color="auto"/>
            <w:right w:val="none" w:sz="0" w:space="0" w:color="auto"/>
          </w:divBdr>
          <w:divsChild>
            <w:div w:id="514928899">
              <w:marLeft w:val="0"/>
              <w:marRight w:val="0"/>
              <w:marTop w:val="0"/>
              <w:marBottom w:val="0"/>
              <w:divBdr>
                <w:top w:val="none" w:sz="0" w:space="0" w:color="auto"/>
                <w:left w:val="none" w:sz="0" w:space="0" w:color="auto"/>
                <w:bottom w:val="none" w:sz="0" w:space="0" w:color="auto"/>
                <w:right w:val="none" w:sz="0" w:space="0" w:color="auto"/>
              </w:divBdr>
            </w:div>
          </w:divsChild>
        </w:div>
        <w:div w:id="148330573">
          <w:marLeft w:val="0"/>
          <w:marRight w:val="0"/>
          <w:marTop w:val="0"/>
          <w:marBottom w:val="0"/>
          <w:divBdr>
            <w:top w:val="none" w:sz="0" w:space="0" w:color="auto"/>
            <w:left w:val="none" w:sz="0" w:space="0" w:color="auto"/>
            <w:bottom w:val="none" w:sz="0" w:space="0" w:color="auto"/>
            <w:right w:val="none" w:sz="0" w:space="0" w:color="auto"/>
          </w:divBdr>
          <w:divsChild>
            <w:div w:id="2132245456">
              <w:marLeft w:val="0"/>
              <w:marRight w:val="0"/>
              <w:marTop w:val="0"/>
              <w:marBottom w:val="0"/>
              <w:divBdr>
                <w:top w:val="none" w:sz="0" w:space="0" w:color="auto"/>
                <w:left w:val="none" w:sz="0" w:space="0" w:color="auto"/>
                <w:bottom w:val="none" w:sz="0" w:space="0" w:color="auto"/>
                <w:right w:val="none" w:sz="0" w:space="0" w:color="auto"/>
              </w:divBdr>
            </w:div>
          </w:divsChild>
        </w:div>
        <w:div w:id="637340876">
          <w:marLeft w:val="0"/>
          <w:marRight w:val="0"/>
          <w:marTop w:val="0"/>
          <w:marBottom w:val="0"/>
          <w:divBdr>
            <w:top w:val="none" w:sz="0" w:space="0" w:color="auto"/>
            <w:left w:val="none" w:sz="0" w:space="0" w:color="auto"/>
            <w:bottom w:val="none" w:sz="0" w:space="0" w:color="auto"/>
            <w:right w:val="none" w:sz="0" w:space="0" w:color="auto"/>
          </w:divBdr>
          <w:divsChild>
            <w:div w:id="778379524">
              <w:marLeft w:val="0"/>
              <w:marRight w:val="0"/>
              <w:marTop w:val="0"/>
              <w:marBottom w:val="0"/>
              <w:divBdr>
                <w:top w:val="none" w:sz="0" w:space="0" w:color="auto"/>
                <w:left w:val="none" w:sz="0" w:space="0" w:color="auto"/>
                <w:bottom w:val="none" w:sz="0" w:space="0" w:color="auto"/>
                <w:right w:val="none" w:sz="0" w:space="0" w:color="auto"/>
              </w:divBdr>
            </w:div>
          </w:divsChild>
        </w:div>
        <w:div w:id="1380085845">
          <w:marLeft w:val="0"/>
          <w:marRight w:val="0"/>
          <w:marTop w:val="0"/>
          <w:marBottom w:val="0"/>
          <w:divBdr>
            <w:top w:val="none" w:sz="0" w:space="0" w:color="auto"/>
            <w:left w:val="none" w:sz="0" w:space="0" w:color="auto"/>
            <w:bottom w:val="none" w:sz="0" w:space="0" w:color="auto"/>
            <w:right w:val="none" w:sz="0" w:space="0" w:color="auto"/>
          </w:divBdr>
          <w:divsChild>
            <w:div w:id="1782841583">
              <w:marLeft w:val="0"/>
              <w:marRight w:val="0"/>
              <w:marTop w:val="0"/>
              <w:marBottom w:val="0"/>
              <w:divBdr>
                <w:top w:val="none" w:sz="0" w:space="0" w:color="auto"/>
                <w:left w:val="none" w:sz="0" w:space="0" w:color="auto"/>
                <w:bottom w:val="none" w:sz="0" w:space="0" w:color="auto"/>
                <w:right w:val="none" w:sz="0" w:space="0" w:color="auto"/>
              </w:divBdr>
            </w:div>
          </w:divsChild>
        </w:div>
        <w:div w:id="933127242">
          <w:marLeft w:val="0"/>
          <w:marRight w:val="0"/>
          <w:marTop w:val="0"/>
          <w:marBottom w:val="0"/>
          <w:divBdr>
            <w:top w:val="none" w:sz="0" w:space="0" w:color="auto"/>
            <w:left w:val="none" w:sz="0" w:space="0" w:color="auto"/>
            <w:bottom w:val="none" w:sz="0" w:space="0" w:color="auto"/>
            <w:right w:val="none" w:sz="0" w:space="0" w:color="auto"/>
          </w:divBdr>
          <w:divsChild>
            <w:div w:id="645814019">
              <w:marLeft w:val="0"/>
              <w:marRight w:val="0"/>
              <w:marTop w:val="0"/>
              <w:marBottom w:val="0"/>
              <w:divBdr>
                <w:top w:val="none" w:sz="0" w:space="0" w:color="auto"/>
                <w:left w:val="none" w:sz="0" w:space="0" w:color="auto"/>
                <w:bottom w:val="none" w:sz="0" w:space="0" w:color="auto"/>
                <w:right w:val="none" w:sz="0" w:space="0" w:color="auto"/>
              </w:divBdr>
            </w:div>
          </w:divsChild>
        </w:div>
        <w:div w:id="272980286">
          <w:marLeft w:val="0"/>
          <w:marRight w:val="0"/>
          <w:marTop w:val="0"/>
          <w:marBottom w:val="0"/>
          <w:divBdr>
            <w:top w:val="none" w:sz="0" w:space="0" w:color="auto"/>
            <w:left w:val="none" w:sz="0" w:space="0" w:color="auto"/>
            <w:bottom w:val="none" w:sz="0" w:space="0" w:color="auto"/>
            <w:right w:val="none" w:sz="0" w:space="0" w:color="auto"/>
          </w:divBdr>
          <w:divsChild>
            <w:div w:id="242224733">
              <w:marLeft w:val="0"/>
              <w:marRight w:val="0"/>
              <w:marTop w:val="0"/>
              <w:marBottom w:val="0"/>
              <w:divBdr>
                <w:top w:val="none" w:sz="0" w:space="0" w:color="auto"/>
                <w:left w:val="none" w:sz="0" w:space="0" w:color="auto"/>
                <w:bottom w:val="none" w:sz="0" w:space="0" w:color="auto"/>
                <w:right w:val="none" w:sz="0" w:space="0" w:color="auto"/>
              </w:divBdr>
            </w:div>
          </w:divsChild>
        </w:div>
        <w:div w:id="274335583">
          <w:marLeft w:val="0"/>
          <w:marRight w:val="0"/>
          <w:marTop w:val="0"/>
          <w:marBottom w:val="0"/>
          <w:divBdr>
            <w:top w:val="none" w:sz="0" w:space="0" w:color="auto"/>
            <w:left w:val="none" w:sz="0" w:space="0" w:color="auto"/>
            <w:bottom w:val="none" w:sz="0" w:space="0" w:color="auto"/>
            <w:right w:val="none" w:sz="0" w:space="0" w:color="auto"/>
          </w:divBdr>
          <w:divsChild>
            <w:div w:id="1396852484">
              <w:marLeft w:val="0"/>
              <w:marRight w:val="0"/>
              <w:marTop w:val="0"/>
              <w:marBottom w:val="0"/>
              <w:divBdr>
                <w:top w:val="none" w:sz="0" w:space="0" w:color="auto"/>
                <w:left w:val="none" w:sz="0" w:space="0" w:color="auto"/>
                <w:bottom w:val="none" w:sz="0" w:space="0" w:color="auto"/>
                <w:right w:val="none" w:sz="0" w:space="0" w:color="auto"/>
              </w:divBdr>
            </w:div>
          </w:divsChild>
        </w:div>
        <w:div w:id="1965504874">
          <w:marLeft w:val="0"/>
          <w:marRight w:val="0"/>
          <w:marTop w:val="0"/>
          <w:marBottom w:val="0"/>
          <w:divBdr>
            <w:top w:val="none" w:sz="0" w:space="0" w:color="auto"/>
            <w:left w:val="none" w:sz="0" w:space="0" w:color="auto"/>
            <w:bottom w:val="none" w:sz="0" w:space="0" w:color="auto"/>
            <w:right w:val="none" w:sz="0" w:space="0" w:color="auto"/>
          </w:divBdr>
          <w:divsChild>
            <w:div w:id="1394354669">
              <w:marLeft w:val="0"/>
              <w:marRight w:val="0"/>
              <w:marTop w:val="0"/>
              <w:marBottom w:val="0"/>
              <w:divBdr>
                <w:top w:val="none" w:sz="0" w:space="0" w:color="auto"/>
                <w:left w:val="none" w:sz="0" w:space="0" w:color="auto"/>
                <w:bottom w:val="none" w:sz="0" w:space="0" w:color="auto"/>
                <w:right w:val="none" w:sz="0" w:space="0" w:color="auto"/>
              </w:divBdr>
            </w:div>
          </w:divsChild>
        </w:div>
        <w:div w:id="453445645">
          <w:marLeft w:val="0"/>
          <w:marRight w:val="0"/>
          <w:marTop w:val="0"/>
          <w:marBottom w:val="0"/>
          <w:divBdr>
            <w:top w:val="none" w:sz="0" w:space="0" w:color="auto"/>
            <w:left w:val="none" w:sz="0" w:space="0" w:color="auto"/>
            <w:bottom w:val="none" w:sz="0" w:space="0" w:color="auto"/>
            <w:right w:val="none" w:sz="0" w:space="0" w:color="auto"/>
          </w:divBdr>
          <w:divsChild>
            <w:div w:id="668486999">
              <w:marLeft w:val="0"/>
              <w:marRight w:val="0"/>
              <w:marTop w:val="0"/>
              <w:marBottom w:val="0"/>
              <w:divBdr>
                <w:top w:val="none" w:sz="0" w:space="0" w:color="auto"/>
                <w:left w:val="none" w:sz="0" w:space="0" w:color="auto"/>
                <w:bottom w:val="none" w:sz="0" w:space="0" w:color="auto"/>
                <w:right w:val="none" w:sz="0" w:space="0" w:color="auto"/>
              </w:divBdr>
            </w:div>
          </w:divsChild>
        </w:div>
        <w:div w:id="1582181852">
          <w:marLeft w:val="0"/>
          <w:marRight w:val="0"/>
          <w:marTop w:val="0"/>
          <w:marBottom w:val="0"/>
          <w:divBdr>
            <w:top w:val="none" w:sz="0" w:space="0" w:color="auto"/>
            <w:left w:val="none" w:sz="0" w:space="0" w:color="auto"/>
            <w:bottom w:val="none" w:sz="0" w:space="0" w:color="auto"/>
            <w:right w:val="none" w:sz="0" w:space="0" w:color="auto"/>
          </w:divBdr>
          <w:divsChild>
            <w:div w:id="1925840922">
              <w:marLeft w:val="0"/>
              <w:marRight w:val="0"/>
              <w:marTop w:val="0"/>
              <w:marBottom w:val="0"/>
              <w:divBdr>
                <w:top w:val="none" w:sz="0" w:space="0" w:color="auto"/>
                <w:left w:val="none" w:sz="0" w:space="0" w:color="auto"/>
                <w:bottom w:val="none" w:sz="0" w:space="0" w:color="auto"/>
                <w:right w:val="none" w:sz="0" w:space="0" w:color="auto"/>
              </w:divBdr>
            </w:div>
          </w:divsChild>
        </w:div>
        <w:div w:id="1288198208">
          <w:marLeft w:val="0"/>
          <w:marRight w:val="0"/>
          <w:marTop w:val="0"/>
          <w:marBottom w:val="0"/>
          <w:divBdr>
            <w:top w:val="none" w:sz="0" w:space="0" w:color="auto"/>
            <w:left w:val="none" w:sz="0" w:space="0" w:color="auto"/>
            <w:bottom w:val="none" w:sz="0" w:space="0" w:color="auto"/>
            <w:right w:val="none" w:sz="0" w:space="0" w:color="auto"/>
          </w:divBdr>
          <w:divsChild>
            <w:div w:id="1508474857">
              <w:marLeft w:val="0"/>
              <w:marRight w:val="0"/>
              <w:marTop w:val="0"/>
              <w:marBottom w:val="0"/>
              <w:divBdr>
                <w:top w:val="none" w:sz="0" w:space="0" w:color="auto"/>
                <w:left w:val="none" w:sz="0" w:space="0" w:color="auto"/>
                <w:bottom w:val="none" w:sz="0" w:space="0" w:color="auto"/>
                <w:right w:val="none" w:sz="0" w:space="0" w:color="auto"/>
              </w:divBdr>
            </w:div>
          </w:divsChild>
        </w:div>
        <w:div w:id="1907689778">
          <w:marLeft w:val="0"/>
          <w:marRight w:val="0"/>
          <w:marTop w:val="0"/>
          <w:marBottom w:val="0"/>
          <w:divBdr>
            <w:top w:val="none" w:sz="0" w:space="0" w:color="auto"/>
            <w:left w:val="none" w:sz="0" w:space="0" w:color="auto"/>
            <w:bottom w:val="none" w:sz="0" w:space="0" w:color="auto"/>
            <w:right w:val="none" w:sz="0" w:space="0" w:color="auto"/>
          </w:divBdr>
          <w:divsChild>
            <w:div w:id="577330142">
              <w:marLeft w:val="0"/>
              <w:marRight w:val="0"/>
              <w:marTop w:val="0"/>
              <w:marBottom w:val="0"/>
              <w:divBdr>
                <w:top w:val="none" w:sz="0" w:space="0" w:color="auto"/>
                <w:left w:val="none" w:sz="0" w:space="0" w:color="auto"/>
                <w:bottom w:val="none" w:sz="0" w:space="0" w:color="auto"/>
                <w:right w:val="none" w:sz="0" w:space="0" w:color="auto"/>
              </w:divBdr>
            </w:div>
          </w:divsChild>
        </w:div>
        <w:div w:id="868834588">
          <w:marLeft w:val="0"/>
          <w:marRight w:val="0"/>
          <w:marTop w:val="0"/>
          <w:marBottom w:val="0"/>
          <w:divBdr>
            <w:top w:val="none" w:sz="0" w:space="0" w:color="auto"/>
            <w:left w:val="none" w:sz="0" w:space="0" w:color="auto"/>
            <w:bottom w:val="none" w:sz="0" w:space="0" w:color="auto"/>
            <w:right w:val="none" w:sz="0" w:space="0" w:color="auto"/>
          </w:divBdr>
          <w:divsChild>
            <w:div w:id="1116951522">
              <w:marLeft w:val="0"/>
              <w:marRight w:val="0"/>
              <w:marTop w:val="0"/>
              <w:marBottom w:val="0"/>
              <w:divBdr>
                <w:top w:val="none" w:sz="0" w:space="0" w:color="auto"/>
                <w:left w:val="none" w:sz="0" w:space="0" w:color="auto"/>
                <w:bottom w:val="none" w:sz="0" w:space="0" w:color="auto"/>
                <w:right w:val="none" w:sz="0" w:space="0" w:color="auto"/>
              </w:divBdr>
            </w:div>
          </w:divsChild>
        </w:div>
        <w:div w:id="1547332284">
          <w:marLeft w:val="0"/>
          <w:marRight w:val="0"/>
          <w:marTop w:val="0"/>
          <w:marBottom w:val="0"/>
          <w:divBdr>
            <w:top w:val="none" w:sz="0" w:space="0" w:color="auto"/>
            <w:left w:val="none" w:sz="0" w:space="0" w:color="auto"/>
            <w:bottom w:val="none" w:sz="0" w:space="0" w:color="auto"/>
            <w:right w:val="none" w:sz="0" w:space="0" w:color="auto"/>
          </w:divBdr>
          <w:divsChild>
            <w:div w:id="693850233">
              <w:marLeft w:val="0"/>
              <w:marRight w:val="0"/>
              <w:marTop w:val="0"/>
              <w:marBottom w:val="0"/>
              <w:divBdr>
                <w:top w:val="none" w:sz="0" w:space="0" w:color="auto"/>
                <w:left w:val="none" w:sz="0" w:space="0" w:color="auto"/>
                <w:bottom w:val="none" w:sz="0" w:space="0" w:color="auto"/>
                <w:right w:val="none" w:sz="0" w:space="0" w:color="auto"/>
              </w:divBdr>
            </w:div>
          </w:divsChild>
        </w:div>
        <w:div w:id="1638024227">
          <w:marLeft w:val="0"/>
          <w:marRight w:val="0"/>
          <w:marTop w:val="0"/>
          <w:marBottom w:val="0"/>
          <w:divBdr>
            <w:top w:val="none" w:sz="0" w:space="0" w:color="auto"/>
            <w:left w:val="none" w:sz="0" w:space="0" w:color="auto"/>
            <w:bottom w:val="none" w:sz="0" w:space="0" w:color="auto"/>
            <w:right w:val="none" w:sz="0" w:space="0" w:color="auto"/>
          </w:divBdr>
          <w:divsChild>
            <w:div w:id="1460880541">
              <w:marLeft w:val="0"/>
              <w:marRight w:val="0"/>
              <w:marTop w:val="0"/>
              <w:marBottom w:val="0"/>
              <w:divBdr>
                <w:top w:val="none" w:sz="0" w:space="0" w:color="auto"/>
                <w:left w:val="none" w:sz="0" w:space="0" w:color="auto"/>
                <w:bottom w:val="none" w:sz="0" w:space="0" w:color="auto"/>
                <w:right w:val="none" w:sz="0" w:space="0" w:color="auto"/>
              </w:divBdr>
            </w:div>
          </w:divsChild>
        </w:div>
        <w:div w:id="1935165764">
          <w:marLeft w:val="0"/>
          <w:marRight w:val="0"/>
          <w:marTop w:val="0"/>
          <w:marBottom w:val="0"/>
          <w:divBdr>
            <w:top w:val="none" w:sz="0" w:space="0" w:color="auto"/>
            <w:left w:val="none" w:sz="0" w:space="0" w:color="auto"/>
            <w:bottom w:val="none" w:sz="0" w:space="0" w:color="auto"/>
            <w:right w:val="none" w:sz="0" w:space="0" w:color="auto"/>
          </w:divBdr>
          <w:divsChild>
            <w:div w:id="163740513">
              <w:marLeft w:val="0"/>
              <w:marRight w:val="0"/>
              <w:marTop w:val="0"/>
              <w:marBottom w:val="0"/>
              <w:divBdr>
                <w:top w:val="none" w:sz="0" w:space="0" w:color="auto"/>
                <w:left w:val="none" w:sz="0" w:space="0" w:color="auto"/>
                <w:bottom w:val="none" w:sz="0" w:space="0" w:color="auto"/>
                <w:right w:val="none" w:sz="0" w:space="0" w:color="auto"/>
              </w:divBdr>
            </w:div>
          </w:divsChild>
        </w:div>
        <w:div w:id="846751566">
          <w:marLeft w:val="0"/>
          <w:marRight w:val="0"/>
          <w:marTop w:val="0"/>
          <w:marBottom w:val="0"/>
          <w:divBdr>
            <w:top w:val="none" w:sz="0" w:space="0" w:color="auto"/>
            <w:left w:val="none" w:sz="0" w:space="0" w:color="auto"/>
            <w:bottom w:val="none" w:sz="0" w:space="0" w:color="auto"/>
            <w:right w:val="none" w:sz="0" w:space="0" w:color="auto"/>
          </w:divBdr>
          <w:divsChild>
            <w:div w:id="1425606981">
              <w:marLeft w:val="0"/>
              <w:marRight w:val="0"/>
              <w:marTop w:val="0"/>
              <w:marBottom w:val="0"/>
              <w:divBdr>
                <w:top w:val="none" w:sz="0" w:space="0" w:color="auto"/>
                <w:left w:val="none" w:sz="0" w:space="0" w:color="auto"/>
                <w:bottom w:val="none" w:sz="0" w:space="0" w:color="auto"/>
                <w:right w:val="none" w:sz="0" w:space="0" w:color="auto"/>
              </w:divBdr>
            </w:div>
          </w:divsChild>
        </w:div>
        <w:div w:id="1313484321">
          <w:marLeft w:val="0"/>
          <w:marRight w:val="0"/>
          <w:marTop w:val="0"/>
          <w:marBottom w:val="0"/>
          <w:divBdr>
            <w:top w:val="none" w:sz="0" w:space="0" w:color="auto"/>
            <w:left w:val="none" w:sz="0" w:space="0" w:color="auto"/>
            <w:bottom w:val="none" w:sz="0" w:space="0" w:color="auto"/>
            <w:right w:val="none" w:sz="0" w:space="0" w:color="auto"/>
          </w:divBdr>
          <w:divsChild>
            <w:div w:id="949705693">
              <w:marLeft w:val="0"/>
              <w:marRight w:val="0"/>
              <w:marTop w:val="0"/>
              <w:marBottom w:val="0"/>
              <w:divBdr>
                <w:top w:val="none" w:sz="0" w:space="0" w:color="auto"/>
                <w:left w:val="none" w:sz="0" w:space="0" w:color="auto"/>
                <w:bottom w:val="none" w:sz="0" w:space="0" w:color="auto"/>
                <w:right w:val="none" w:sz="0" w:space="0" w:color="auto"/>
              </w:divBdr>
            </w:div>
          </w:divsChild>
        </w:div>
        <w:div w:id="2077242837">
          <w:marLeft w:val="0"/>
          <w:marRight w:val="0"/>
          <w:marTop w:val="0"/>
          <w:marBottom w:val="0"/>
          <w:divBdr>
            <w:top w:val="none" w:sz="0" w:space="0" w:color="auto"/>
            <w:left w:val="none" w:sz="0" w:space="0" w:color="auto"/>
            <w:bottom w:val="none" w:sz="0" w:space="0" w:color="auto"/>
            <w:right w:val="none" w:sz="0" w:space="0" w:color="auto"/>
          </w:divBdr>
          <w:divsChild>
            <w:div w:id="1271158897">
              <w:marLeft w:val="0"/>
              <w:marRight w:val="0"/>
              <w:marTop w:val="0"/>
              <w:marBottom w:val="0"/>
              <w:divBdr>
                <w:top w:val="none" w:sz="0" w:space="0" w:color="auto"/>
                <w:left w:val="none" w:sz="0" w:space="0" w:color="auto"/>
                <w:bottom w:val="none" w:sz="0" w:space="0" w:color="auto"/>
                <w:right w:val="none" w:sz="0" w:space="0" w:color="auto"/>
              </w:divBdr>
            </w:div>
          </w:divsChild>
        </w:div>
        <w:div w:id="1791777525">
          <w:marLeft w:val="0"/>
          <w:marRight w:val="0"/>
          <w:marTop w:val="0"/>
          <w:marBottom w:val="0"/>
          <w:divBdr>
            <w:top w:val="none" w:sz="0" w:space="0" w:color="auto"/>
            <w:left w:val="none" w:sz="0" w:space="0" w:color="auto"/>
            <w:bottom w:val="none" w:sz="0" w:space="0" w:color="auto"/>
            <w:right w:val="none" w:sz="0" w:space="0" w:color="auto"/>
          </w:divBdr>
          <w:divsChild>
            <w:div w:id="1086422484">
              <w:marLeft w:val="0"/>
              <w:marRight w:val="0"/>
              <w:marTop w:val="0"/>
              <w:marBottom w:val="0"/>
              <w:divBdr>
                <w:top w:val="none" w:sz="0" w:space="0" w:color="auto"/>
                <w:left w:val="none" w:sz="0" w:space="0" w:color="auto"/>
                <w:bottom w:val="none" w:sz="0" w:space="0" w:color="auto"/>
                <w:right w:val="none" w:sz="0" w:space="0" w:color="auto"/>
              </w:divBdr>
            </w:div>
          </w:divsChild>
        </w:div>
        <w:div w:id="454493202">
          <w:marLeft w:val="0"/>
          <w:marRight w:val="0"/>
          <w:marTop w:val="0"/>
          <w:marBottom w:val="0"/>
          <w:divBdr>
            <w:top w:val="none" w:sz="0" w:space="0" w:color="auto"/>
            <w:left w:val="none" w:sz="0" w:space="0" w:color="auto"/>
            <w:bottom w:val="none" w:sz="0" w:space="0" w:color="auto"/>
            <w:right w:val="none" w:sz="0" w:space="0" w:color="auto"/>
          </w:divBdr>
          <w:divsChild>
            <w:div w:id="340351503">
              <w:marLeft w:val="0"/>
              <w:marRight w:val="0"/>
              <w:marTop w:val="0"/>
              <w:marBottom w:val="0"/>
              <w:divBdr>
                <w:top w:val="none" w:sz="0" w:space="0" w:color="auto"/>
                <w:left w:val="none" w:sz="0" w:space="0" w:color="auto"/>
                <w:bottom w:val="none" w:sz="0" w:space="0" w:color="auto"/>
                <w:right w:val="none" w:sz="0" w:space="0" w:color="auto"/>
              </w:divBdr>
            </w:div>
          </w:divsChild>
        </w:div>
        <w:div w:id="1369144070">
          <w:marLeft w:val="0"/>
          <w:marRight w:val="0"/>
          <w:marTop w:val="0"/>
          <w:marBottom w:val="0"/>
          <w:divBdr>
            <w:top w:val="none" w:sz="0" w:space="0" w:color="auto"/>
            <w:left w:val="none" w:sz="0" w:space="0" w:color="auto"/>
            <w:bottom w:val="none" w:sz="0" w:space="0" w:color="auto"/>
            <w:right w:val="none" w:sz="0" w:space="0" w:color="auto"/>
          </w:divBdr>
          <w:divsChild>
            <w:div w:id="930426708">
              <w:marLeft w:val="0"/>
              <w:marRight w:val="0"/>
              <w:marTop w:val="0"/>
              <w:marBottom w:val="0"/>
              <w:divBdr>
                <w:top w:val="none" w:sz="0" w:space="0" w:color="auto"/>
                <w:left w:val="none" w:sz="0" w:space="0" w:color="auto"/>
                <w:bottom w:val="none" w:sz="0" w:space="0" w:color="auto"/>
                <w:right w:val="none" w:sz="0" w:space="0" w:color="auto"/>
              </w:divBdr>
            </w:div>
          </w:divsChild>
        </w:div>
        <w:div w:id="1417825389">
          <w:marLeft w:val="0"/>
          <w:marRight w:val="0"/>
          <w:marTop w:val="0"/>
          <w:marBottom w:val="0"/>
          <w:divBdr>
            <w:top w:val="none" w:sz="0" w:space="0" w:color="auto"/>
            <w:left w:val="none" w:sz="0" w:space="0" w:color="auto"/>
            <w:bottom w:val="none" w:sz="0" w:space="0" w:color="auto"/>
            <w:right w:val="none" w:sz="0" w:space="0" w:color="auto"/>
          </w:divBdr>
          <w:divsChild>
            <w:div w:id="1253928129">
              <w:marLeft w:val="0"/>
              <w:marRight w:val="0"/>
              <w:marTop w:val="0"/>
              <w:marBottom w:val="0"/>
              <w:divBdr>
                <w:top w:val="none" w:sz="0" w:space="0" w:color="auto"/>
                <w:left w:val="none" w:sz="0" w:space="0" w:color="auto"/>
                <w:bottom w:val="none" w:sz="0" w:space="0" w:color="auto"/>
                <w:right w:val="none" w:sz="0" w:space="0" w:color="auto"/>
              </w:divBdr>
            </w:div>
          </w:divsChild>
        </w:div>
        <w:div w:id="205409325">
          <w:marLeft w:val="0"/>
          <w:marRight w:val="0"/>
          <w:marTop w:val="0"/>
          <w:marBottom w:val="0"/>
          <w:divBdr>
            <w:top w:val="none" w:sz="0" w:space="0" w:color="auto"/>
            <w:left w:val="none" w:sz="0" w:space="0" w:color="auto"/>
            <w:bottom w:val="none" w:sz="0" w:space="0" w:color="auto"/>
            <w:right w:val="none" w:sz="0" w:space="0" w:color="auto"/>
          </w:divBdr>
          <w:divsChild>
            <w:div w:id="91514250">
              <w:marLeft w:val="0"/>
              <w:marRight w:val="0"/>
              <w:marTop w:val="0"/>
              <w:marBottom w:val="0"/>
              <w:divBdr>
                <w:top w:val="none" w:sz="0" w:space="0" w:color="auto"/>
                <w:left w:val="none" w:sz="0" w:space="0" w:color="auto"/>
                <w:bottom w:val="none" w:sz="0" w:space="0" w:color="auto"/>
                <w:right w:val="none" w:sz="0" w:space="0" w:color="auto"/>
              </w:divBdr>
            </w:div>
          </w:divsChild>
        </w:div>
        <w:div w:id="1240671617">
          <w:marLeft w:val="0"/>
          <w:marRight w:val="0"/>
          <w:marTop w:val="0"/>
          <w:marBottom w:val="0"/>
          <w:divBdr>
            <w:top w:val="none" w:sz="0" w:space="0" w:color="auto"/>
            <w:left w:val="none" w:sz="0" w:space="0" w:color="auto"/>
            <w:bottom w:val="none" w:sz="0" w:space="0" w:color="auto"/>
            <w:right w:val="none" w:sz="0" w:space="0" w:color="auto"/>
          </w:divBdr>
          <w:divsChild>
            <w:div w:id="2120487279">
              <w:marLeft w:val="0"/>
              <w:marRight w:val="0"/>
              <w:marTop w:val="0"/>
              <w:marBottom w:val="0"/>
              <w:divBdr>
                <w:top w:val="none" w:sz="0" w:space="0" w:color="auto"/>
                <w:left w:val="none" w:sz="0" w:space="0" w:color="auto"/>
                <w:bottom w:val="none" w:sz="0" w:space="0" w:color="auto"/>
                <w:right w:val="none" w:sz="0" w:space="0" w:color="auto"/>
              </w:divBdr>
            </w:div>
          </w:divsChild>
        </w:div>
        <w:div w:id="1273636282">
          <w:marLeft w:val="0"/>
          <w:marRight w:val="0"/>
          <w:marTop w:val="0"/>
          <w:marBottom w:val="0"/>
          <w:divBdr>
            <w:top w:val="none" w:sz="0" w:space="0" w:color="auto"/>
            <w:left w:val="none" w:sz="0" w:space="0" w:color="auto"/>
            <w:bottom w:val="none" w:sz="0" w:space="0" w:color="auto"/>
            <w:right w:val="none" w:sz="0" w:space="0" w:color="auto"/>
          </w:divBdr>
          <w:divsChild>
            <w:div w:id="1386099781">
              <w:marLeft w:val="0"/>
              <w:marRight w:val="0"/>
              <w:marTop w:val="0"/>
              <w:marBottom w:val="0"/>
              <w:divBdr>
                <w:top w:val="none" w:sz="0" w:space="0" w:color="auto"/>
                <w:left w:val="none" w:sz="0" w:space="0" w:color="auto"/>
                <w:bottom w:val="none" w:sz="0" w:space="0" w:color="auto"/>
                <w:right w:val="none" w:sz="0" w:space="0" w:color="auto"/>
              </w:divBdr>
            </w:div>
          </w:divsChild>
        </w:div>
        <w:div w:id="656223699">
          <w:marLeft w:val="0"/>
          <w:marRight w:val="0"/>
          <w:marTop w:val="0"/>
          <w:marBottom w:val="0"/>
          <w:divBdr>
            <w:top w:val="none" w:sz="0" w:space="0" w:color="auto"/>
            <w:left w:val="none" w:sz="0" w:space="0" w:color="auto"/>
            <w:bottom w:val="none" w:sz="0" w:space="0" w:color="auto"/>
            <w:right w:val="none" w:sz="0" w:space="0" w:color="auto"/>
          </w:divBdr>
          <w:divsChild>
            <w:div w:id="1498619160">
              <w:marLeft w:val="0"/>
              <w:marRight w:val="0"/>
              <w:marTop w:val="0"/>
              <w:marBottom w:val="0"/>
              <w:divBdr>
                <w:top w:val="none" w:sz="0" w:space="0" w:color="auto"/>
                <w:left w:val="none" w:sz="0" w:space="0" w:color="auto"/>
                <w:bottom w:val="none" w:sz="0" w:space="0" w:color="auto"/>
                <w:right w:val="none" w:sz="0" w:space="0" w:color="auto"/>
              </w:divBdr>
            </w:div>
          </w:divsChild>
        </w:div>
        <w:div w:id="807359967">
          <w:marLeft w:val="0"/>
          <w:marRight w:val="0"/>
          <w:marTop w:val="0"/>
          <w:marBottom w:val="0"/>
          <w:divBdr>
            <w:top w:val="none" w:sz="0" w:space="0" w:color="auto"/>
            <w:left w:val="none" w:sz="0" w:space="0" w:color="auto"/>
            <w:bottom w:val="none" w:sz="0" w:space="0" w:color="auto"/>
            <w:right w:val="none" w:sz="0" w:space="0" w:color="auto"/>
          </w:divBdr>
          <w:divsChild>
            <w:div w:id="53357812">
              <w:marLeft w:val="0"/>
              <w:marRight w:val="0"/>
              <w:marTop w:val="0"/>
              <w:marBottom w:val="0"/>
              <w:divBdr>
                <w:top w:val="none" w:sz="0" w:space="0" w:color="auto"/>
                <w:left w:val="none" w:sz="0" w:space="0" w:color="auto"/>
                <w:bottom w:val="none" w:sz="0" w:space="0" w:color="auto"/>
                <w:right w:val="none" w:sz="0" w:space="0" w:color="auto"/>
              </w:divBdr>
            </w:div>
          </w:divsChild>
        </w:div>
        <w:div w:id="761874958">
          <w:marLeft w:val="0"/>
          <w:marRight w:val="0"/>
          <w:marTop w:val="0"/>
          <w:marBottom w:val="0"/>
          <w:divBdr>
            <w:top w:val="none" w:sz="0" w:space="0" w:color="auto"/>
            <w:left w:val="none" w:sz="0" w:space="0" w:color="auto"/>
            <w:bottom w:val="none" w:sz="0" w:space="0" w:color="auto"/>
            <w:right w:val="none" w:sz="0" w:space="0" w:color="auto"/>
          </w:divBdr>
          <w:divsChild>
            <w:div w:id="2092658156">
              <w:marLeft w:val="0"/>
              <w:marRight w:val="0"/>
              <w:marTop w:val="0"/>
              <w:marBottom w:val="0"/>
              <w:divBdr>
                <w:top w:val="none" w:sz="0" w:space="0" w:color="auto"/>
                <w:left w:val="none" w:sz="0" w:space="0" w:color="auto"/>
                <w:bottom w:val="none" w:sz="0" w:space="0" w:color="auto"/>
                <w:right w:val="none" w:sz="0" w:space="0" w:color="auto"/>
              </w:divBdr>
            </w:div>
          </w:divsChild>
        </w:div>
        <w:div w:id="43992715">
          <w:marLeft w:val="0"/>
          <w:marRight w:val="0"/>
          <w:marTop w:val="0"/>
          <w:marBottom w:val="0"/>
          <w:divBdr>
            <w:top w:val="none" w:sz="0" w:space="0" w:color="auto"/>
            <w:left w:val="none" w:sz="0" w:space="0" w:color="auto"/>
            <w:bottom w:val="none" w:sz="0" w:space="0" w:color="auto"/>
            <w:right w:val="none" w:sz="0" w:space="0" w:color="auto"/>
          </w:divBdr>
          <w:divsChild>
            <w:div w:id="346179118">
              <w:marLeft w:val="0"/>
              <w:marRight w:val="0"/>
              <w:marTop w:val="0"/>
              <w:marBottom w:val="0"/>
              <w:divBdr>
                <w:top w:val="none" w:sz="0" w:space="0" w:color="auto"/>
                <w:left w:val="none" w:sz="0" w:space="0" w:color="auto"/>
                <w:bottom w:val="none" w:sz="0" w:space="0" w:color="auto"/>
                <w:right w:val="none" w:sz="0" w:space="0" w:color="auto"/>
              </w:divBdr>
            </w:div>
          </w:divsChild>
        </w:div>
        <w:div w:id="1643390642">
          <w:marLeft w:val="0"/>
          <w:marRight w:val="0"/>
          <w:marTop w:val="0"/>
          <w:marBottom w:val="0"/>
          <w:divBdr>
            <w:top w:val="none" w:sz="0" w:space="0" w:color="auto"/>
            <w:left w:val="none" w:sz="0" w:space="0" w:color="auto"/>
            <w:bottom w:val="none" w:sz="0" w:space="0" w:color="auto"/>
            <w:right w:val="none" w:sz="0" w:space="0" w:color="auto"/>
          </w:divBdr>
          <w:divsChild>
            <w:div w:id="1624270464">
              <w:marLeft w:val="0"/>
              <w:marRight w:val="0"/>
              <w:marTop w:val="0"/>
              <w:marBottom w:val="0"/>
              <w:divBdr>
                <w:top w:val="none" w:sz="0" w:space="0" w:color="auto"/>
                <w:left w:val="none" w:sz="0" w:space="0" w:color="auto"/>
                <w:bottom w:val="none" w:sz="0" w:space="0" w:color="auto"/>
                <w:right w:val="none" w:sz="0" w:space="0" w:color="auto"/>
              </w:divBdr>
            </w:div>
          </w:divsChild>
        </w:div>
        <w:div w:id="1505435189">
          <w:marLeft w:val="0"/>
          <w:marRight w:val="0"/>
          <w:marTop w:val="0"/>
          <w:marBottom w:val="0"/>
          <w:divBdr>
            <w:top w:val="none" w:sz="0" w:space="0" w:color="auto"/>
            <w:left w:val="none" w:sz="0" w:space="0" w:color="auto"/>
            <w:bottom w:val="none" w:sz="0" w:space="0" w:color="auto"/>
            <w:right w:val="none" w:sz="0" w:space="0" w:color="auto"/>
          </w:divBdr>
          <w:divsChild>
            <w:div w:id="202014294">
              <w:marLeft w:val="0"/>
              <w:marRight w:val="0"/>
              <w:marTop w:val="0"/>
              <w:marBottom w:val="0"/>
              <w:divBdr>
                <w:top w:val="none" w:sz="0" w:space="0" w:color="auto"/>
                <w:left w:val="none" w:sz="0" w:space="0" w:color="auto"/>
                <w:bottom w:val="none" w:sz="0" w:space="0" w:color="auto"/>
                <w:right w:val="none" w:sz="0" w:space="0" w:color="auto"/>
              </w:divBdr>
            </w:div>
          </w:divsChild>
        </w:div>
        <w:div w:id="1157766355">
          <w:marLeft w:val="0"/>
          <w:marRight w:val="0"/>
          <w:marTop w:val="0"/>
          <w:marBottom w:val="0"/>
          <w:divBdr>
            <w:top w:val="none" w:sz="0" w:space="0" w:color="auto"/>
            <w:left w:val="none" w:sz="0" w:space="0" w:color="auto"/>
            <w:bottom w:val="none" w:sz="0" w:space="0" w:color="auto"/>
            <w:right w:val="none" w:sz="0" w:space="0" w:color="auto"/>
          </w:divBdr>
          <w:divsChild>
            <w:div w:id="1461536921">
              <w:marLeft w:val="0"/>
              <w:marRight w:val="0"/>
              <w:marTop w:val="0"/>
              <w:marBottom w:val="0"/>
              <w:divBdr>
                <w:top w:val="none" w:sz="0" w:space="0" w:color="auto"/>
                <w:left w:val="none" w:sz="0" w:space="0" w:color="auto"/>
                <w:bottom w:val="none" w:sz="0" w:space="0" w:color="auto"/>
                <w:right w:val="none" w:sz="0" w:space="0" w:color="auto"/>
              </w:divBdr>
            </w:div>
          </w:divsChild>
        </w:div>
        <w:div w:id="2116559730">
          <w:marLeft w:val="0"/>
          <w:marRight w:val="0"/>
          <w:marTop w:val="0"/>
          <w:marBottom w:val="0"/>
          <w:divBdr>
            <w:top w:val="none" w:sz="0" w:space="0" w:color="auto"/>
            <w:left w:val="none" w:sz="0" w:space="0" w:color="auto"/>
            <w:bottom w:val="none" w:sz="0" w:space="0" w:color="auto"/>
            <w:right w:val="none" w:sz="0" w:space="0" w:color="auto"/>
          </w:divBdr>
          <w:divsChild>
            <w:div w:id="1593317491">
              <w:marLeft w:val="0"/>
              <w:marRight w:val="0"/>
              <w:marTop w:val="0"/>
              <w:marBottom w:val="0"/>
              <w:divBdr>
                <w:top w:val="none" w:sz="0" w:space="0" w:color="auto"/>
                <w:left w:val="none" w:sz="0" w:space="0" w:color="auto"/>
                <w:bottom w:val="none" w:sz="0" w:space="0" w:color="auto"/>
                <w:right w:val="none" w:sz="0" w:space="0" w:color="auto"/>
              </w:divBdr>
            </w:div>
          </w:divsChild>
        </w:div>
        <w:div w:id="770665732">
          <w:marLeft w:val="0"/>
          <w:marRight w:val="0"/>
          <w:marTop w:val="0"/>
          <w:marBottom w:val="0"/>
          <w:divBdr>
            <w:top w:val="none" w:sz="0" w:space="0" w:color="auto"/>
            <w:left w:val="none" w:sz="0" w:space="0" w:color="auto"/>
            <w:bottom w:val="none" w:sz="0" w:space="0" w:color="auto"/>
            <w:right w:val="none" w:sz="0" w:space="0" w:color="auto"/>
          </w:divBdr>
          <w:divsChild>
            <w:div w:id="1885486489">
              <w:marLeft w:val="0"/>
              <w:marRight w:val="0"/>
              <w:marTop w:val="0"/>
              <w:marBottom w:val="0"/>
              <w:divBdr>
                <w:top w:val="none" w:sz="0" w:space="0" w:color="auto"/>
                <w:left w:val="none" w:sz="0" w:space="0" w:color="auto"/>
                <w:bottom w:val="none" w:sz="0" w:space="0" w:color="auto"/>
                <w:right w:val="none" w:sz="0" w:space="0" w:color="auto"/>
              </w:divBdr>
            </w:div>
          </w:divsChild>
        </w:div>
        <w:div w:id="262150478">
          <w:marLeft w:val="0"/>
          <w:marRight w:val="0"/>
          <w:marTop w:val="0"/>
          <w:marBottom w:val="0"/>
          <w:divBdr>
            <w:top w:val="none" w:sz="0" w:space="0" w:color="auto"/>
            <w:left w:val="none" w:sz="0" w:space="0" w:color="auto"/>
            <w:bottom w:val="none" w:sz="0" w:space="0" w:color="auto"/>
            <w:right w:val="none" w:sz="0" w:space="0" w:color="auto"/>
          </w:divBdr>
          <w:divsChild>
            <w:div w:id="1830823308">
              <w:marLeft w:val="0"/>
              <w:marRight w:val="0"/>
              <w:marTop w:val="0"/>
              <w:marBottom w:val="0"/>
              <w:divBdr>
                <w:top w:val="none" w:sz="0" w:space="0" w:color="auto"/>
                <w:left w:val="none" w:sz="0" w:space="0" w:color="auto"/>
                <w:bottom w:val="none" w:sz="0" w:space="0" w:color="auto"/>
                <w:right w:val="none" w:sz="0" w:space="0" w:color="auto"/>
              </w:divBdr>
            </w:div>
          </w:divsChild>
        </w:div>
        <w:div w:id="340014262">
          <w:marLeft w:val="0"/>
          <w:marRight w:val="0"/>
          <w:marTop w:val="0"/>
          <w:marBottom w:val="0"/>
          <w:divBdr>
            <w:top w:val="none" w:sz="0" w:space="0" w:color="auto"/>
            <w:left w:val="none" w:sz="0" w:space="0" w:color="auto"/>
            <w:bottom w:val="none" w:sz="0" w:space="0" w:color="auto"/>
            <w:right w:val="none" w:sz="0" w:space="0" w:color="auto"/>
          </w:divBdr>
          <w:divsChild>
            <w:div w:id="1228804725">
              <w:marLeft w:val="0"/>
              <w:marRight w:val="0"/>
              <w:marTop w:val="0"/>
              <w:marBottom w:val="0"/>
              <w:divBdr>
                <w:top w:val="none" w:sz="0" w:space="0" w:color="auto"/>
                <w:left w:val="none" w:sz="0" w:space="0" w:color="auto"/>
                <w:bottom w:val="none" w:sz="0" w:space="0" w:color="auto"/>
                <w:right w:val="none" w:sz="0" w:space="0" w:color="auto"/>
              </w:divBdr>
            </w:div>
          </w:divsChild>
        </w:div>
        <w:div w:id="1302878764">
          <w:marLeft w:val="0"/>
          <w:marRight w:val="0"/>
          <w:marTop w:val="0"/>
          <w:marBottom w:val="0"/>
          <w:divBdr>
            <w:top w:val="none" w:sz="0" w:space="0" w:color="auto"/>
            <w:left w:val="none" w:sz="0" w:space="0" w:color="auto"/>
            <w:bottom w:val="none" w:sz="0" w:space="0" w:color="auto"/>
            <w:right w:val="none" w:sz="0" w:space="0" w:color="auto"/>
          </w:divBdr>
          <w:divsChild>
            <w:div w:id="1027752693">
              <w:marLeft w:val="0"/>
              <w:marRight w:val="0"/>
              <w:marTop w:val="0"/>
              <w:marBottom w:val="0"/>
              <w:divBdr>
                <w:top w:val="none" w:sz="0" w:space="0" w:color="auto"/>
                <w:left w:val="none" w:sz="0" w:space="0" w:color="auto"/>
                <w:bottom w:val="none" w:sz="0" w:space="0" w:color="auto"/>
                <w:right w:val="none" w:sz="0" w:space="0" w:color="auto"/>
              </w:divBdr>
            </w:div>
          </w:divsChild>
        </w:div>
        <w:div w:id="1943608613">
          <w:marLeft w:val="0"/>
          <w:marRight w:val="0"/>
          <w:marTop w:val="0"/>
          <w:marBottom w:val="0"/>
          <w:divBdr>
            <w:top w:val="none" w:sz="0" w:space="0" w:color="auto"/>
            <w:left w:val="none" w:sz="0" w:space="0" w:color="auto"/>
            <w:bottom w:val="none" w:sz="0" w:space="0" w:color="auto"/>
            <w:right w:val="none" w:sz="0" w:space="0" w:color="auto"/>
          </w:divBdr>
          <w:divsChild>
            <w:div w:id="1743944552">
              <w:marLeft w:val="0"/>
              <w:marRight w:val="0"/>
              <w:marTop w:val="0"/>
              <w:marBottom w:val="0"/>
              <w:divBdr>
                <w:top w:val="none" w:sz="0" w:space="0" w:color="auto"/>
                <w:left w:val="none" w:sz="0" w:space="0" w:color="auto"/>
                <w:bottom w:val="none" w:sz="0" w:space="0" w:color="auto"/>
                <w:right w:val="none" w:sz="0" w:space="0" w:color="auto"/>
              </w:divBdr>
            </w:div>
          </w:divsChild>
        </w:div>
        <w:div w:id="52239090">
          <w:marLeft w:val="0"/>
          <w:marRight w:val="0"/>
          <w:marTop w:val="0"/>
          <w:marBottom w:val="0"/>
          <w:divBdr>
            <w:top w:val="none" w:sz="0" w:space="0" w:color="auto"/>
            <w:left w:val="none" w:sz="0" w:space="0" w:color="auto"/>
            <w:bottom w:val="none" w:sz="0" w:space="0" w:color="auto"/>
            <w:right w:val="none" w:sz="0" w:space="0" w:color="auto"/>
          </w:divBdr>
          <w:divsChild>
            <w:div w:id="746464959">
              <w:marLeft w:val="0"/>
              <w:marRight w:val="0"/>
              <w:marTop w:val="0"/>
              <w:marBottom w:val="0"/>
              <w:divBdr>
                <w:top w:val="none" w:sz="0" w:space="0" w:color="auto"/>
                <w:left w:val="none" w:sz="0" w:space="0" w:color="auto"/>
                <w:bottom w:val="none" w:sz="0" w:space="0" w:color="auto"/>
                <w:right w:val="none" w:sz="0" w:space="0" w:color="auto"/>
              </w:divBdr>
            </w:div>
          </w:divsChild>
        </w:div>
        <w:div w:id="1702590330">
          <w:marLeft w:val="0"/>
          <w:marRight w:val="0"/>
          <w:marTop w:val="0"/>
          <w:marBottom w:val="0"/>
          <w:divBdr>
            <w:top w:val="none" w:sz="0" w:space="0" w:color="auto"/>
            <w:left w:val="none" w:sz="0" w:space="0" w:color="auto"/>
            <w:bottom w:val="none" w:sz="0" w:space="0" w:color="auto"/>
            <w:right w:val="none" w:sz="0" w:space="0" w:color="auto"/>
          </w:divBdr>
          <w:divsChild>
            <w:div w:id="1299383959">
              <w:marLeft w:val="0"/>
              <w:marRight w:val="0"/>
              <w:marTop w:val="0"/>
              <w:marBottom w:val="0"/>
              <w:divBdr>
                <w:top w:val="none" w:sz="0" w:space="0" w:color="auto"/>
                <w:left w:val="none" w:sz="0" w:space="0" w:color="auto"/>
                <w:bottom w:val="none" w:sz="0" w:space="0" w:color="auto"/>
                <w:right w:val="none" w:sz="0" w:space="0" w:color="auto"/>
              </w:divBdr>
            </w:div>
          </w:divsChild>
        </w:div>
        <w:div w:id="1229456845">
          <w:marLeft w:val="0"/>
          <w:marRight w:val="0"/>
          <w:marTop w:val="0"/>
          <w:marBottom w:val="0"/>
          <w:divBdr>
            <w:top w:val="none" w:sz="0" w:space="0" w:color="auto"/>
            <w:left w:val="none" w:sz="0" w:space="0" w:color="auto"/>
            <w:bottom w:val="none" w:sz="0" w:space="0" w:color="auto"/>
            <w:right w:val="none" w:sz="0" w:space="0" w:color="auto"/>
          </w:divBdr>
          <w:divsChild>
            <w:div w:id="868447415">
              <w:marLeft w:val="0"/>
              <w:marRight w:val="0"/>
              <w:marTop w:val="0"/>
              <w:marBottom w:val="0"/>
              <w:divBdr>
                <w:top w:val="none" w:sz="0" w:space="0" w:color="auto"/>
                <w:left w:val="none" w:sz="0" w:space="0" w:color="auto"/>
                <w:bottom w:val="none" w:sz="0" w:space="0" w:color="auto"/>
                <w:right w:val="none" w:sz="0" w:space="0" w:color="auto"/>
              </w:divBdr>
            </w:div>
          </w:divsChild>
        </w:div>
        <w:div w:id="317921869">
          <w:marLeft w:val="0"/>
          <w:marRight w:val="0"/>
          <w:marTop w:val="0"/>
          <w:marBottom w:val="0"/>
          <w:divBdr>
            <w:top w:val="none" w:sz="0" w:space="0" w:color="auto"/>
            <w:left w:val="none" w:sz="0" w:space="0" w:color="auto"/>
            <w:bottom w:val="none" w:sz="0" w:space="0" w:color="auto"/>
            <w:right w:val="none" w:sz="0" w:space="0" w:color="auto"/>
          </w:divBdr>
          <w:divsChild>
            <w:div w:id="494732739">
              <w:marLeft w:val="0"/>
              <w:marRight w:val="0"/>
              <w:marTop w:val="0"/>
              <w:marBottom w:val="0"/>
              <w:divBdr>
                <w:top w:val="none" w:sz="0" w:space="0" w:color="auto"/>
                <w:left w:val="none" w:sz="0" w:space="0" w:color="auto"/>
                <w:bottom w:val="none" w:sz="0" w:space="0" w:color="auto"/>
                <w:right w:val="none" w:sz="0" w:space="0" w:color="auto"/>
              </w:divBdr>
            </w:div>
          </w:divsChild>
        </w:div>
        <w:div w:id="1900239323">
          <w:marLeft w:val="0"/>
          <w:marRight w:val="0"/>
          <w:marTop w:val="0"/>
          <w:marBottom w:val="0"/>
          <w:divBdr>
            <w:top w:val="none" w:sz="0" w:space="0" w:color="auto"/>
            <w:left w:val="none" w:sz="0" w:space="0" w:color="auto"/>
            <w:bottom w:val="none" w:sz="0" w:space="0" w:color="auto"/>
            <w:right w:val="none" w:sz="0" w:space="0" w:color="auto"/>
          </w:divBdr>
          <w:divsChild>
            <w:div w:id="58553348">
              <w:marLeft w:val="0"/>
              <w:marRight w:val="0"/>
              <w:marTop w:val="0"/>
              <w:marBottom w:val="0"/>
              <w:divBdr>
                <w:top w:val="none" w:sz="0" w:space="0" w:color="auto"/>
                <w:left w:val="none" w:sz="0" w:space="0" w:color="auto"/>
                <w:bottom w:val="none" w:sz="0" w:space="0" w:color="auto"/>
                <w:right w:val="none" w:sz="0" w:space="0" w:color="auto"/>
              </w:divBdr>
            </w:div>
          </w:divsChild>
        </w:div>
        <w:div w:id="644512739">
          <w:marLeft w:val="0"/>
          <w:marRight w:val="0"/>
          <w:marTop w:val="0"/>
          <w:marBottom w:val="0"/>
          <w:divBdr>
            <w:top w:val="none" w:sz="0" w:space="0" w:color="auto"/>
            <w:left w:val="none" w:sz="0" w:space="0" w:color="auto"/>
            <w:bottom w:val="none" w:sz="0" w:space="0" w:color="auto"/>
            <w:right w:val="none" w:sz="0" w:space="0" w:color="auto"/>
          </w:divBdr>
          <w:divsChild>
            <w:div w:id="1006783518">
              <w:marLeft w:val="0"/>
              <w:marRight w:val="0"/>
              <w:marTop w:val="0"/>
              <w:marBottom w:val="0"/>
              <w:divBdr>
                <w:top w:val="none" w:sz="0" w:space="0" w:color="auto"/>
                <w:left w:val="none" w:sz="0" w:space="0" w:color="auto"/>
                <w:bottom w:val="none" w:sz="0" w:space="0" w:color="auto"/>
                <w:right w:val="none" w:sz="0" w:space="0" w:color="auto"/>
              </w:divBdr>
            </w:div>
          </w:divsChild>
        </w:div>
        <w:div w:id="2071074451">
          <w:marLeft w:val="0"/>
          <w:marRight w:val="0"/>
          <w:marTop w:val="0"/>
          <w:marBottom w:val="0"/>
          <w:divBdr>
            <w:top w:val="none" w:sz="0" w:space="0" w:color="auto"/>
            <w:left w:val="none" w:sz="0" w:space="0" w:color="auto"/>
            <w:bottom w:val="none" w:sz="0" w:space="0" w:color="auto"/>
            <w:right w:val="none" w:sz="0" w:space="0" w:color="auto"/>
          </w:divBdr>
          <w:divsChild>
            <w:div w:id="1620913809">
              <w:marLeft w:val="0"/>
              <w:marRight w:val="0"/>
              <w:marTop w:val="0"/>
              <w:marBottom w:val="0"/>
              <w:divBdr>
                <w:top w:val="none" w:sz="0" w:space="0" w:color="auto"/>
                <w:left w:val="none" w:sz="0" w:space="0" w:color="auto"/>
                <w:bottom w:val="none" w:sz="0" w:space="0" w:color="auto"/>
                <w:right w:val="none" w:sz="0" w:space="0" w:color="auto"/>
              </w:divBdr>
            </w:div>
          </w:divsChild>
        </w:div>
        <w:div w:id="1916940064">
          <w:marLeft w:val="0"/>
          <w:marRight w:val="0"/>
          <w:marTop w:val="0"/>
          <w:marBottom w:val="0"/>
          <w:divBdr>
            <w:top w:val="none" w:sz="0" w:space="0" w:color="auto"/>
            <w:left w:val="none" w:sz="0" w:space="0" w:color="auto"/>
            <w:bottom w:val="none" w:sz="0" w:space="0" w:color="auto"/>
            <w:right w:val="none" w:sz="0" w:space="0" w:color="auto"/>
          </w:divBdr>
          <w:divsChild>
            <w:div w:id="35588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4492872-5129-4A52-832B-09148850C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1094</Words>
  <Characters>6240</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Andy Bennett</cp:lastModifiedBy>
  <cp:revision>2</cp:revision>
  <cp:lastPrinted>2018-08-13T16:59:00Z</cp:lastPrinted>
  <dcterms:created xsi:type="dcterms:W3CDTF">2022-06-01T15:06:00Z</dcterms:created>
  <dcterms:modified xsi:type="dcterms:W3CDTF">2022-06-01T15:06:00Z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